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63C9" w14:textId="77777777" w:rsidR="007E0BA2" w:rsidRPr="007C674E" w:rsidRDefault="00FD0BBE" w:rsidP="007E0BA2">
      <w:pPr>
        <w:pStyle w:val="NoSpacing"/>
        <w:spacing w:line="276" w:lineRule="auto"/>
        <w:ind w:right="-604"/>
        <w:jc w:val="center"/>
        <w:rPr>
          <w:rFonts w:ascii="Cambria" w:hAnsi="Cambria"/>
          <w:b/>
          <w:color w:val="000000" w:themeColor="text1"/>
          <w:lang w:val="es-ES"/>
        </w:rPr>
      </w:pPr>
      <w:r w:rsidRPr="007C674E">
        <w:rPr>
          <w:rFonts w:ascii="Cambria" w:hAnsi="Cambria"/>
          <w:b/>
          <w:color w:val="000000" w:themeColor="text1"/>
          <w:lang w:val="es-ES"/>
        </w:rPr>
        <w:t xml:space="preserve">FICHA DE SEGUIMIENTO DEL CASO </w:t>
      </w:r>
      <w:r w:rsidR="007E0BA2" w:rsidRPr="007C674E">
        <w:rPr>
          <w:rFonts w:ascii="Cambria" w:hAnsi="Cambria"/>
          <w:b/>
          <w:color w:val="000000" w:themeColor="text1"/>
          <w:lang w:val="es-ES"/>
        </w:rPr>
        <w:t>12.880</w:t>
      </w:r>
    </w:p>
    <w:p w14:paraId="13149944" w14:textId="77777777" w:rsidR="007E0BA2" w:rsidRPr="007C674E" w:rsidRDefault="007E0BA2" w:rsidP="007E0BA2">
      <w:pPr>
        <w:pStyle w:val="NoSpacing"/>
        <w:spacing w:line="276" w:lineRule="auto"/>
        <w:ind w:right="-604"/>
        <w:jc w:val="center"/>
        <w:rPr>
          <w:rFonts w:ascii="Cambria" w:hAnsi="Cambria"/>
          <w:b/>
          <w:color w:val="000000" w:themeColor="text1"/>
          <w:lang w:val="es-ES"/>
        </w:rPr>
      </w:pPr>
      <w:r w:rsidRPr="007C674E">
        <w:rPr>
          <w:rFonts w:ascii="Cambria" w:hAnsi="Cambria"/>
          <w:b/>
          <w:color w:val="000000" w:themeColor="text1"/>
          <w:lang w:val="es-ES"/>
        </w:rPr>
        <w:t>EDMUNDO ALEX LEMUN SAAVEDRA Y OTROS</w:t>
      </w:r>
    </w:p>
    <w:p w14:paraId="7ED1CC09" w14:textId="77777777" w:rsidR="00FD0BBE" w:rsidRPr="007C674E" w:rsidRDefault="007E0BA2" w:rsidP="007E0BA2">
      <w:pPr>
        <w:pStyle w:val="NoSpacing"/>
        <w:spacing w:line="276" w:lineRule="auto"/>
        <w:ind w:right="-604"/>
        <w:jc w:val="center"/>
        <w:rPr>
          <w:rFonts w:ascii="Cambria" w:hAnsi="Cambria"/>
          <w:b/>
          <w:color w:val="000000" w:themeColor="text1"/>
          <w:lang w:val="es-ES"/>
        </w:rPr>
      </w:pPr>
      <w:r w:rsidRPr="007C674E">
        <w:rPr>
          <w:rFonts w:ascii="Cambria" w:hAnsi="Cambria"/>
          <w:b/>
          <w:color w:val="000000" w:themeColor="text1"/>
          <w:lang w:val="es-ES"/>
        </w:rPr>
        <w:t>(CHILE)</w:t>
      </w:r>
    </w:p>
    <w:p w14:paraId="672A6659" w14:textId="77777777" w:rsidR="00FD0BBE" w:rsidRPr="007C674E" w:rsidRDefault="00FD0BBE" w:rsidP="00FD0BBE">
      <w:pPr>
        <w:pStyle w:val="NoSpacing"/>
        <w:spacing w:line="276" w:lineRule="auto"/>
        <w:ind w:right="-604"/>
        <w:rPr>
          <w:rFonts w:ascii="Cambria" w:hAnsi="Cambria"/>
          <w:b/>
          <w:color w:val="000000" w:themeColor="text1"/>
          <w:lang w:val="es-ES"/>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5059"/>
        <w:gridCol w:w="4590"/>
      </w:tblGrid>
      <w:tr w:rsidR="00FD0BBE" w:rsidRPr="007C674E" w14:paraId="05D68805" w14:textId="77777777" w:rsidTr="00EF7072">
        <w:tc>
          <w:tcPr>
            <w:tcW w:w="5059" w:type="dxa"/>
            <w:shd w:val="clear" w:color="auto" w:fill="F2F2F2" w:themeFill="background1" w:themeFillShade="F2"/>
          </w:tcPr>
          <w:p w14:paraId="0A37501D" w14:textId="77777777" w:rsidR="00FD0BBE" w:rsidRPr="007C674E" w:rsidRDefault="00FD0BBE" w:rsidP="00E73515">
            <w:pPr>
              <w:pStyle w:val="ListParagraph"/>
              <w:spacing w:line="276" w:lineRule="auto"/>
              <w:ind w:left="0"/>
              <w:jc w:val="both"/>
              <w:rPr>
                <w:rFonts w:ascii="Cambria" w:hAnsi="Cambria"/>
                <w:b/>
                <w:bCs/>
                <w:sz w:val="20"/>
                <w:szCs w:val="20"/>
              </w:rPr>
            </w:pPr>
          </w:p>
          <w:p w14:paraId="3C29B4AB" w14:textId="77777777" w:rsidR="00FD0BBE" w:rsidRPr="007C674E" w:rsidRDefault="00FD0BBE" w:rsidP="00E73515">
            <w:pPr>
              <w:pStyle w:val="ListParagraph"/>
              <w:spacing w:line="276" w:lineRule="auto"/>
              <w:ind w:left="0"/>
              <w:jc w:val="both"/>
              <w:rPr>
                <w:rFonts w:ascii="Cambria" w:hAnsi="Cambria"/>
                <w:b/>
                <w:bCs/>
                <w:sz w:val="20"/>
                <w:szCs w:val="20"/>
              </w:rPr>
            </w:pPr>
            <w:r w:rsidRPr="007C674E">
              <w:rPr>
                <w:rFonts w:ascii="Cambria" w:hAnsi="Cambria"/>
                <w:b/>
                <w:bCs/>
                <w:sz w:val="20"/>
                <w:szCs w:val="20"/>
              </w:rPr>
              <w:t>Estado de cumplimiento del caso en 2023</w:t>
            </w:r>
          </w:p>
        </w:tc>
        <w:tc>
          <w:tcPr>
            <w:tcW w:w="4590" w:type="dxa"/>
            <w:shd w:val="clear" w:color="auto" w:fill="F2F2F2" w:themeFill="background1" w:themeFillShade="F2"/>
          </w:tcPr>
          <w:p w14:paraId="5DAB6C7B" w14:textId="77777777" w:rsidR="00FD0BBE" w:rsidRPr="007C674E" w:rsidRDefault="00FD0BBE" w:rsidP="00E73515">
            <w:pPr>
              <w:spacing w:line="276" w:lineRule="auto"/>
              <w:jc w:val="both"/>
              <w:rPr>
                <w:rFonts w:ascii="Cambria" w:hAnsi="Cambria" w:cs="Calibri Light"/>
                <w:color w:val="000000" w:themeColor="text1"/>
                <w:sz w:val="20"/>
                <w:szCs w:val="20"/>
                <w:lang w:val="es-ES_tradnl"/>
              </w:rPr>
            </w:pPr>
          </w:p>
          <w:p w14:paraId="000419F8" w14:textId="10F7C37C" w:rsidR="003D7087" w:rsidRPr="007C674E" w:rsidRDefault="001E45C1" w:rsidP="003D7087">
            <w:pPr>
              <w:spacing w:line="276" w:lineRule="auto"/>
              <w:jc w:val="center"/>
              <w:rPr>
                <w:rFonts w:ascii="Cambria" w:hAnsi="Cambria" w:cs="Calibri Light"/>
                <w:color w:val="000000" w:themeColor="text1"/>
                <w:sz w:val="20"/>
                <w:szCs w:val="20"/>
                <w:lang w:val="es-ES_tradnl"/>
              </w:rPr>
            </w:pPr>
            <w:r w:rsidRPr="007C674E">
              <w:rPr>
                <w:rFonts w:ascii="Cambria" w:hAnsi="Cambria" w:cs="Calibri Light"/>
                <w:color w:val="000000" w:themeColor="text1"/>
                <w:sz w:val="20"/>
                <w:szCs w:val="20"/>
                <w:lang w:val="es-ES_tradnl"/>
              </w:rPr>
              <w:t>Parcial</w:t>
            </w:r>
          </w:p>
          <w:p w14:paraId="02EB378F" w14:textId="77777777" w:rsidR="00FD0BBE" w:rsidRPr="007C674E" w:rsidRDefault="00FD0BBE" w:rsidP="00E73515">
            <w:pPr>
              <w:spacing w:line="276" w:lineRule="auto"/>
              <w:jc w:val="both"/>
              <w:rPr>
                <w:rFonts w:ascii="Cambria" w:hAnsi="Cambria" w:cs="Calibri Light"/>
                <w:color w:val="000000" w:themeColor="text1"/>
                <w:sz w:val="20"/>
                <w:szCs w:val="20"/>
                <w:lang w:val="es-ES_tradnl"/>
              </w:rPr>
            </w:pPr>
          </w:p>
        </w:tc>
      </w:tr>
    </w:tbl>
    <w:p w14:paraId="6A05A809" w14:textId="77777777" w:rsidR="00FD0BBE" w:rsidRPr="007C674E" w:rsidRDefault="00FD0BBE" w:rsidP="00FD0BBE">
      <w:pPr>
        <w:pStyle w:val="NoSpacing"/>
        <w:spacing w:line="276" w:lineRule="auto"/>
        <w:ind w:right="-604"/>
        <w:rPr>
          <w:rFonts w:ascii="Cambria" w:hAnsi="Cambria"/>
          <w:b/>
          <w:color w:val="000000" w:themeColor="text1"/>
          <w:lang w:val="es-ES"/>
        </w:rPr>
      </w:pPr>
    </w:p>
    <w:p w14:paraId="08EFC47B" w14:textId="77777777" w:rsidR="00FD0BBE" w:rsidRPr="007C674E" w:rsidRDefault="00FD0BBE" w:rsidP="00FD0BBE">
      <w:pPr>
        <w:pStyle w:val="ListParagraph"/>
        <w:numPr>
          <w:ilvl w:val="0"/>
          <w:numId w:val="1"/>
        </w:numPr>
        <w:spacing w:after="0" w:line="276" w:lineRule="auto"/>
        <w:jc w:val="both"/>
        <w:rPr>
          <w:rFonts w:ascii="Cambria" w:hAnsi="Cambria"/>
          <w:sz w:val="20"/>
          <w:szCs w:val="20"/>
        </w:rPr>
      </w:pPr>
      <w:r w:rsidRPr="007C674E">
        <w:rPr>
          <w:rFonts w:ascii="Cambria" w:hAnsi="Cambria" w:cs="Calibri Light"/>
          <w:b/>
          <w:color w:val="000000" w:themeColor="text1"/>
          <w:sz w:val="20"/>
          <w:szCs w:val="20"/>
          <w:lang w:val="es-US"/>
        </w:rPr>
        <w:t>Resumen del caso</w:t>
      </w:r>
    </w:p>
    <w:p w14:paraId="5A39BBE3" w14:textId="77777777" w:rsidR="00FD0BBE" w:rsidRPr="007C674E" w:rsidRDefault="00FD0BBE" w:rsidP="00FD0BBE">
      <w:pPr>
        <w:pStyle w:val="ListParagraph"/>
        <w:spacing w:after="0" w:line="276" w:lineRule="auto"/>
        <w:ind w:left="360"/>
        <w:jc w:val="both"/>
        <w:rPr>
          <w:rFonts w:ascii="Cambria" w:hAnsi="Cambria"/>
          <w:sz w:val="20"/>
          <w:szCs w:val="20"/>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9"/>
      </w:tblGrid>
      <w:tr w:rsidR="00FD0BBE" w:rsidRPr="007C674E" w14:paraId="3758EE55" w14:textId="77777777" w:rsidTr="00C52ED0">
        <w:tc>
          <w:tcPr>
            <w:tcW w:w="9649" w:type="dxa"/>
            <w:shd w:val="clear" w:color="auto" w:fill="F2F2F2" w:themeFill="background1" w:themeFillShade="F2"/>
          </w:tcPr>
          <w:p w14:paraId="41C8F396" w14:textId="77777777" w:rsidR="00FD0BBE" w:rsidRPr="007C674E" w:rsidRDefault="00FD0BBE" w:rsidP="003E0827">
            <w:pPr>
              <w:pStyle w:val="NoSpacing"/>
              <w:shd w:val="clear" w:color="auto" w:fill="F2F2F2" w:themeFill="background1" w:themeFillShade="F2"/>
              <w:spacing w:line="276" w:lineRule="auto"/>
              <w:jc w:val="both"/>
              <w:rPr>
                <w:rFonts w:ascii="Cambria" w:hAnsi="Cambria"/>
                <w:b/>
                <w:bCs/>
                <w:color w:val="000000" w:themeColor="text1"/>
              </w:rPr>
            </w:pPr>
          </w:p>
          <w:p w14:paraId="12A3461A" w14:textId="77777777" w:rsidR="00FD0BBE" w:rsidRPr="007C674E" w:rsidRDefault="00FD0BBE" w:rsidP="003221CD">
            <w:pPr>
              <w:pStyle w:val="NoSpacing"/>
              <w:shd w:val="clear" w:color="auto" w:fill="F2F2F2" w:themeFill="background1" w:themeFillShade="F2"/>
              <w:spacing w:line="276" w:lineRule="auto"/>
              <w:jc w:val="both"/>
              <w:rPr>
                <w:rFonts w:ascii="Cambria" w:hAnsi="Cambria"/>
                <w:b/>
                <w:color w:val="000000" w:themeColor="text1"/>
              </w:rPr>
            </w:pPr>
            <w:r w:rsidRPr="007C674E">
              <w:rPr>
                <w:rFonts w:ascii="Cambria" w:hAnsi="Cambria"/>
                <w:b/>
                <w:bCs/>
                <w:color w:val="000000" w:themeColor="text1"/>
              </w:rPr>
              <w:t xml:space="preserve">Víctimas: </w:t>
            </w:r>
            <w:r w:rsidR="003E0827" w:rsidRPr="007C674E">
              <w:rPr>
                <w:rFonts w:ascii="Cambria" w:eastAsia="Times New Roman" w:hAnsi="Cambria" w:cs="Times New Roman"/>
                <w:bCs/>
                <w:color w:val="000000" w:themeColor="text1"/>
                <w:lang w:val="es-ES"/>
              </w:rPr>
              <w:t>Edmundo Alex Lemun Saavedra y otros</w:t>
            </w:r>
          </w:p>
          <w:p w14:paraId="7C6C32DA" w14:textId="77777777" w:rsidR="00FD0BBE" w:rsidRPr="007C674E" w:rsidRDefault="00FD0BBE" w:rsidP="003221CD">
            <w:pPr>
              <w:pStyle w:val="NoSpacing"/>
              <w:shd w:val="clear" w:color="auto" w:fill="F2F2F2" w:themeFill="background1" w:themeFillShade="F2"/>
              <w:spacing w:line="276" w:lineRule="auto"/>
              <w:jc w:val="both"/>
              <w:rPr>
                <w:rFonts w:ascii="Cambria" w:hAnsi="Cambria"/>
                <w:color w:val="000000" w:themeColor="text1"/>
                <w:lang w:val="es-ES"/>
              </w:rPr>
            </w:pPr>
            <w:r w:rsidRPr="007C674E">
              <w:rPr>
                <w:rFonts w:ascii="Cambria" w:hAnsi="Cambria"/>
                <w:b/>
                <w:color w:val="000000" w:themeColor="text1"/>
                <w:lang w:val="es-ES"/>
              </w:rPr>
              <w:t>Representante (s):</w:t>
            </w:r>
            <w:r w:rsidRPr="007C674E">
              <w:rPr>
                <w:rFonts w:ascii="Cambria" w:hAnsi="Cambria"/>
                <w:color w:val="000000" w:themeColor="text1"/>
                <w:lang w:val="es-ES"/>
              </w:rPr>
              <w:t xml:space="preserve"> </w:t>
            </w:r>
            <w:r w:rsidR="003E0827" w:rsidRPr="007C674E">
              <w:rPr>
                <w:rFonts w:ascii="Cambria" w:eastAsia="Times New Roman" w:hAnsi="Cambria" w:cs="Times New Roman"/>
                <w:color w:val="000000" w:themeColor="text1"/>
                <w:lang w:val="es-GT"/>
              </w:rPr>
              <w:t>Centro por la Justicia y el Derecho Internacional (CEJIL)</w:t>
            </w:r>
          </w:p>
          <w:p w14:paraId="73956D01" w14:textId="33B563F5" w:rsidR="00FD0BBE" w:rsidRPr="007C674E" w:rsidRDefault="00FD0BBE" w:rsidP="003221CD">
            <w:pPr>
              <w:pStyle w:val="NoSpacing"/>
              <w:shd w:val="clear" w:color="auto" w:fill="F2F2F2" w:themeFill="background1" w:themeFillShade="F2"/>
              <w:spacing w:line="276" w:lineRule="auto"/>
              <w:jc w:val="both"/>
              <w:rPr>
                <w:rFonts w:ascii="Cambria" w:hAnsi="Cambria"/>
                <w:color w:val="000000" w:themeColor="text1"/>
                <w:lang w:val="es-ES"/>
              </w:rPr>
            </w:pPr>
            <w:r w:rsidRPr="007C674E">
              <w:rPr>
                <w:rFonts w:ascii="Cambria" w:hAnsi="Cambria"/>
                <w:b/>
                <w:color w:val="000000" w:themeColor="text1"/>
                <w:lang w:val="es-ES"/>
              </w:rPr>
              <w:t xml:space="preserve">Informe de Fondo </w:t>
            </w:r>
            <w:r w:rsidR="00561ED3" w:rsidRPr="007C674E">
              <w:rPr>
                <w:rFonts w:ascii="Cambria" w:hAnsi="Cambria"/>
                <w:b/>
                <w:color w:val="000000" w:themeColor="text1"/>
                <w:lang w:val="es-ES"/>
              </w:rPr>
              <w:t>Nº</w:t>
            </w:r>
            <w:r w:rsidRPr="007C674E">
              <w:rPr>
                <w:rFonts w:ascii="Cambria" w:hAnsi="Cambria"/>
                <w:b/>
                <w:color w:val="000000" w:themeColor="text1"/>
                <w:lang w:val="es-ES"/>
              </w:rPr>
              <w:t xml:space="preserve">: </w:t>
            </w:r>
            <w:hyperlink r:id="rId11" w:history="1">
              <w:r w:rsidR="003E0827" w:rsidRPr="007C674E">
                <w:rPr>
                  <w:rFonts w:ascii="Cambria" w:eastAsia="Times New Roman" w:hAnsi="Cambria" w:cs="Times New Roman"/>
                  <w:bCs/>
                  <w:color w:val="000000" w:themeColor="text1"/>
                  <w:u w:val="single"/>
                  <w:lang w:val="es-ES"/>
                </w:rPr>
                <w:t>458/21</w:t>
              </w:r>
            </w:hyperlink>
            <w:r w:rsidR="003E0827" w:rsidRPr="007C674E">
              <w:rPr>
                <w:rFonts w:ascii="Cambria" w:eastAsia="Times New Roman" w:hAnsi="Cambria" w:cs="Times New Roman"/>
                <w:bCs/>
                <w:color w:val="000000" w:themeColor="text1"/>
                <w:lang w:val="es-ES"/>
              </w:rPr>
              <w:t xml:space="preserve"> </w:t>
            </w:r>
            <w:r w:rsidR="003E0827" w:rsidRPr="007C674E">
              <w:rPr>
                <w:rFonts w:ascii="Cambria" w:eastAsia="Times New Roman" w:hAnsi="Cambria" w:cs="Times New Roman"/>
                <w:color w:val="000000" w:themeColor="text1"/>
                <w:lang w:val="es-ES"/>
              </w:rPr>
              <w:t>publicado el 31 de diciembre de 2021</w:t>
            </w:r>
          </w:p>
          <w:p w14:paraId="0D878C26" w14:textId="50C8903C" w:rsidR="00FD0BBE" w:rsidRPr="007C674E" w:rsidRDefault="00FD0BBE" w:rsidP="003221CD">
            <w:pPr>
              <w:pStyle w:val="NoSpacing"/>
              <w:shd w:val="clear" w:color="auto" w:fill="F2F2F2" w:themeFill="background1" w:themeFillShade="F2"/>
              <w:spacing w:line="276" w:lineRule="auto"/>
              <w:jc w:val="both"/>
              <w:rPr>
                <w:rFonts w:ascii="Cambria" w:hAnsi="Cambria"/>
                <w:color w:val="000000" w:themeColor="text1"/>
                <w:lang w:val="es-ES"/>
              </w:rPr>
            </w:pPr>
            <w:r w:rsidRPr="007C674E">
              <w:rPr>
                <w:rFonts w:ascii="Cambria" w:hAnsi="Cambria"/>
                <w:b/>
                <w:color w:val="000000" w:themeColor="text1"/>
                <w:lang w:val="es-ES"/>
              </w:rPr>
              <w:t xml:space="preserve">Informe de Admisibilidad </w:t>
            </w:r>
            <w:r w:rsidR="00561ED3" w:rsidRPr="007C674E">
              <w:rPr>
                <w:rFonts w:ascii="Cambria" w:hAnsi="Cambria"/>
                <w:b/>
                <w:color w:val="000000" w:themeColor="text1"/>
                <w:lang w:val="es-ES"/>
              </w:rPr>
              <w:t>Nº</w:t>
            </w:r>
            <w:r w:rsidRPr="007C674E">
              <w:rPr>
                <w:rFonts w:ascii="Cambria" w:hAnsi="Cambria"/>
                <w:b/>
                <w:color w:val="000000" w:themeColor="text1"/>
                <w:lang w:val="es-ES"/>
              </w:rPr>
              <w:t xml:space="preserve">: </w:t>
            </w:r>
            <w:r w:rsidR="003E0827" w:rsidRPr="007C674E">
              <w:rPr>
                <w:rFonts w:ascii="Cambria" w:hAnsi="Cambria"/>
                <w:lang w:val="es-ES_tradnl"/>
              </w:rPr>
              <w:t>458/21 publicado el 31 de diciembre de 2021</w:t>
            </w:r>
          </w:p>
          <w:p w14:paraId="44AEADDC" w14:textId="39522CA8" w:rsidR="003E0827" w:rsidRPr="007C674E" w:rsidRDefault="00FD0BBE" w:rsidP="003221CD">
            <w:pPr>
              <w:pStyle w:val="ListParagraph"/>
              <w:spacing w:line="276" w:lineRule="auto"/>
              <w:ind w:left="0"/>
              <w:jc w:val="both"/>
              <w:rPr>
                <w:rFonts w:ascii="Cambria" w:eastAsia="Times New Roman" w:hAnsi="Cambria" w:cs="Times New Roman"/>
                <w:color w:val="000000" w:themeColor="text1"/>
                <w:sz w:val="20"/>
                <w:szCs w:val="20"/>
                <w:lang w:val="es-ES"/>
              </w:rPr>
            </w:pPr>
            <w:r w:rsidRPr="007C674E">
              <w:rPr>
                <w:rFonts w:ascii="Cambria" w:hAnsi="Cambria"/>
                <w:b/>
                <w:color w:val="000000" w:themeColor="text1"/>
                <w:sz w:val="20"/>
                <w:szCs w:val="20"/>
                <w:lang w:val="es-ES"/>
              </w:rPr>
              <w:t>Hechos:</w:t>
            </w:r>
            <w:r w:rsidRPr="007C674E">
              <w:rPr>
                <w:rFonts w:ascii="Cambria" w:hAnsi="Cambria"/>
                <w:color w:val="000000" w:themeColor="text1"/>
                <w:sz w:val="20"/>
                <w:szCs w:val="20"/>
                <w:lang w:val="es-ES"/>
              </w:rPr>
              <w:t xml:space="preserve"> </w:t>
            </w:r>
            <w:r w:rsidR="003E0827" w:rsidRPr="007C674E">
              <w:rPr>
                <w:rFonts w:ascii="Cambria" w:eastAsia="Times New Roman" w:hAnsi="Cambria" w:cs="Times New Roman"/>
                <w:color w:val="000000" w:themeColor="text1"/>
                <w:sz w:val="20"/>
                <w:szCs w:val="20"/>
                <w:lang w:val="es-ES"/>
              </w:rPr>
              <w:t>Este caso se refiere a las violaciones de los derechos humanos del adolescente de origen mapuche, Edmundo Alex Lemun Saavedra, y sus familiares.  La víctima falleció luego de recibir un tiro en la cabeza, en medio de una protesta, a mano</w:t>
            </w:r>
            <w:r w:rsidR="009B4E7C">
              <w:rPr>
                <w:rFonts w:ascii="Cambria" w:eastAsia="Times New Roman" w:hAnsi="Cambria" w:cs="Times New Roman"/>
                <w:color w:val="000000" w:themeColor="text1"/>
                <w:sz w:val="20"/>
                <w:szCs w:val="20"/>
                <w:lang w:val="es-ES"/>
              </w:rPr>
              <w:t>s</w:t>
            </w:r>
            <w:r w:rsidR="003E0827" w:rsidRPr="007C674E">
              <w:rPr>
                <w:rFonts w:ascii="Cambria" w:eastAsia="Times New Roman" w:hAnsi="Cambria" w:cs="Times New Roman"/>
                <w:color w:val="000000" w:themeColor="text1"/>
                <w:sz w:val="20"/>
                <w:szCs w:val="20"/>
                <w:lang w:val="es-ES"/>
              </w:rPr>
              <w:t xml:space="preserve"> de los Carabineros. Después de su muerte, los hermanos de la víctima sufrieron señalamientos y acoso por parte de los Carabineros. </w:t>
            </w:r>
          </w:p>
          <w:p w14:paraId="67CA0A64" w14:textId="77777777" w:rsidR="00FD0BBE" w:rsidRPr="007C674E" w:rsidRDefault="00FD0BBE" w:rsidP="003221CD">
            <w:pPr>
              <w:pStyle w:val="ListParagraph"/>
              <w:spacing w:line="276" w:lineRule="auto"/>
              <w:ind w:left="0"/>
              <w:jc w:val="both"/>
              <w:rPr>
                <w:rFonts w:ascii="Cambria" w:hAnsi="Cambria"/>
                <w:color w:val="000000" w:themeColor="text1"/>
                <w:sz w:val="20"/>
                <w:szCs w:val="20"/>
                <w:lang w:val="es-ES"/>
              </w:rPr>
            </w:pPr>
            <w:r w:rsidRPr="007C674E">
              <w:rPr>
                <w:rFonts w:ascii="Cambria" w:hAnsi="Cambria"/>
                <w:b/>
                <w:color w:val="000000" w:themeColor="text1"/>
                <w:sz w:val="20"/>
                <w:szCs w:val="20"/>
                <w:lang w:val="es-ES"/>
              </w:rPr>
              <w:t>Derechos violados:</w:t>
            </w:r>
            <w:r w:rsidRPr="007C674E">
              <w:rPr>
                <w:rFonts w:ascii="Cambria" w:hAnsi="Cambria"/>
                <w:color w:val="000000" w:themeColor="text1"/>
                <w:sz w:val="20"/>
                <w:szCs w:val="20"/>
                <w:lang w:val="es-ES"/>
              </w:rPr>
              <w:t xml:space="preserve"> </w:t>
            </w:r>
          </w:p>
          <w:p w14:paraId="26E5FCFC" w14:textId="5C248CB8" w:rsidR="00FD0BBE" w:rsidRPr="007C674E" w:rsidRDefault="003E0827" w:rsidP="003221CD">
            <w:pPr>
              <w:pStyle w:val="ListParagraph"/>
              <w:numPr>
                <w:ilvl w:val="0"/>
                <w:numId w:val="4"/>
              </w:numPr>
              <w:spacing w:line="276" w:lineRule="auto"/>
              <w:jc w:val="both"/>
              <w:rPr>
                <w:rFonts w:ascii="Cambria" w:hAnsi="Cambria"/>
                <w:color w:val="000000" w:themeColor="text1"/>
                <w:sz w:val="20"/>
                <w:szCs w:val="20"/>
                <w:lang w:val="es-ES"/>
              </w:rPr>
            </w:pPr>
            <w:r w:rsidRPr="007C674E">
              <w:rPr>
                <w:rFonts w:ascii="Cambria" w:hAnsi="Cambria"/>
                <w:color w:val="000000" w:themeColor="text1"/>
                <w:sz w:val="20"/>
                <w:szCs w:val="20"/>
                <w:lang w:val="es-ES"/>
              </w:rPr>
              <w:t xml:space="preserve">Respecto de </w:t>
            </w:r>
            <w:r w:rsidRPr="007C674E">
              <w:rPr>
                <w:rFonts w:ascii="Cambria" w:eastAsia="Times New Roman" w:hAnsi="Cambria" w:cs="Times New Roman"/>
                <w:bCs/>
                <w:color w:val="000000" w:themeColor="text1"/>
                <w:sz w:val="20"/>
                <w:szCs w:val="20"/>
                <w:lang w:val="es-ES"/>
              </w:rPr>
              <w:t>Edmundo Alex Lemun Saavedra y otros</w:t>
            </w:r>
            <w:r w:rsidR="00FD0BBE" w:rsidRPr="007C674E">
              <w:rPr>
                <w:rFonts w:ascii="Cambria" w:hAnsi="Cambria"/>
                <w:color w:val="000000" w:themeColor="text1"/>
                <w:sz w:val="20"/>
                <w:szCs w:val="20"/>
                <w:lang w:val="es-ES"/>
              </w:rPr>
              <w:t xml:space="preserve">: arts. 1.1, 2, </w:t>
            </w:r>
            <w:r w:rsidRPr="007C674E">
              <w:rPr>
                <w:rFonts w:ascii="Cambria" w:hAnsi="Cambria"/>
                <w:color w:val="000000" w:themeColor="text1"/>
                <w:sz w:val="20"/>
                <w:szCs w:val="20"/>
                <w:lang w:val="es-ES"/>
              </w:rPr>
              <w:t>4.1, 5.1, 8.1, 19, 24 y 25 de la C</w:t>
            </w:r>
            <w:r w:rsidR="00BC1BB9">
              <w:rPr>
                <w:rFonts w:ascii="Cambria" w:hAnsi="Cambria"/>
                <w:color w:val="000000" w:themeColor="text1"/>
                <w:sz w:val="20"/>
                <w:szCs w:val="20"/>
                <w:lang w:val="es-ES"/>
              </w:rPr>
              <w:t>onvención Americana sobre Derechos humanos (C</w:t>
            </w:r>
            <w:r w:rsidRPr="007C674E">
              <w:rPr>
                <w:rFonts w:ascii="Cambria" w:hAnsi="Cambria"/>
                <w:color w:val="000000" w:themeColor="text1"/>
                <w:sz w:val="20"/>
                <w:szCs w:val="20"/>
                <w:lang w:val="es-ES"/>
              </w:rPr>
              <w:t>ADH</w:t>
            </w:r>
            <w:r w:rsidR="00BC1BB9">
              <w:rPr>
                <w:rFonts w:ascii="Cambria" w:hAnsi="Cambria"/>
                <w:color w:val="000000" w:themeColor="text1"/>
                <w:sz w:val="20"/>
                <w:szCs w:val="20"/>
                <w:lang w:val="es-ES"/>
              </w:rPr>
              <w:t>)</w:t>
            </w:r>
          </w:p>
          <w:p w14:paraId="72A3D3EC" w14:textId="77777777" w:rsidR="00FD0BBE" w:rsidRPr="007C674E" w:rsidRDefault="00FD0BBE" w:rsidP="003E0827">
            <w:pPr>
              <w:spacing w:line="276" w:lineRule="auto"/>
              <w:ind w:left="360"/>
              <w:rPr>
                <w:rFonts w:ascii="Cambria" w:hAnsi="Cambria"/>
                <w:color w:val="000000" w:themeColor="text1"/>
                <w:sz w:val="20"/>
                <w:szCs w:val="20"/>
                <w:lang w:val="es-ES"/>
              </w:rPr>
            </w:pPr>
          </w:p>
        </w:tc>
      </w:tr>
    </w:tbl>
    <w:p w14:paraId="0D0B940D" w14:textId="77777777" w:rsidR="00FD0BBE" w:rsidRPr="007C674E" w:rsidRDefault="00FD0BBE" w:rsidP="00FD0BBE">
      <w:pPr>
        <w:spacing w:after="0" w:line="276" w:lineRule="auto"/>
        <w:jc w:val="both"/>
        <w:rPr>
          <w:rFonts w:ascii="Cambria" w:hAnsi="Cambria"/>
          <w:b/>
          <w:sz w:val="20"/>
          <w:szCs w:val="20"/>
        </w:rPr>
      </w:pPr>
    </w:p>
    <w:p w14:paraId="162E22ED" w14:textId="77777777" w:rsidR="00FD0BBE" w:rsidRPr="007C674E" w:rsidRDefault="00FD0BBE" w:rsidP="00FD0BBE">
      <w:pPr>
        <w:pStyle w:val="ListParagraph"/>
        <w:numPr>
          <w:ilvl w:val="0"/>
          <w:numId w:val="1"/>
        </w:numPr>
        <w:spacing w:after="0" w:line="276" w:lineRule="auto"/>
        <w:jc w:val="both"/>
        <w:rPr>
          <w:rFonts w:ascii="Cambria" w:hAnsi="Cambria"/>
          <w:b/>
          <w:sz w:val="20"/>
          <w:szCs w:val="20"/>
        </w:rPr>
      </w:pPr>
      <w:r w:rsidRPr="007C674E">
        <w:rPr>
          <w:rFonts w:ascii="Cambria" w:hAnsi="Cambria"/>
          <w:b/>
          <w:sz w:val="20"/>
          <w:szCs w:val="20"/>
        </w:rPr>
        <w:t xml:space="preserve">Datos generales del seguimiento </w:t>
      </w:r>
    </w:p>
    <w:p w14:paraId="0E27B00A" w14:textId="77777777" w:rsidR="00FD0BBE" w:rsidRPr="007C674E" w:rsidRDefault="00FD0BBE" w:rsidP="00FD0BBE">
      <w:pPr>
        <w:pStyle w:val="ListParagraph"/>
        <w:spacing w:after="0" w:line="276" w:lineRule="auto"/>
        <w:ind w:left="360"/>
        <w:jc w:val="both"/>
        <w:rPr>
          <w:rFonts w:ascii="Cambria" w:hAnsi="Cambria"/>
          <w:b/>
          <w:sz w:val="20"/>
          <w:szCs w:val="20"/>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402"/>
      </w:tblGrid>
      <w:tr w:rsidR="00FD0BBE" w:rsidRPr="007C674E" w14:paraId="56420EFF" w14:textId="77777777" w:rsidTr="00C52ED0">
        <w:tc>
          <w:tcPr>
            <w:tcW w:w="4247" w:type="dxa"/>
            <w:shd w:val="clear" w:color="auto" w:fill="B4C6E7" w:themeFill="accent5" w:themeFillTint="66"/>
          </w:tcPr>
          <w:p w14:paraId="60061E4C" w14:textId="77777777" w:rsidR="00FD0BBE" w:rsidRPr="007C674E" w:rsidRDefault="00FD0BBE" w:rsidP="00E73515">
            <w:pPr>
              <w:pStyle w:val="ListParagraph"/>
              <w:spacing w:line="276" w:lineRule="auto"/>
              <w:ind w:left="0"/>
              <w:jc w:val="both"/>
              <w:rPr>
                <w:rFonts w:ascii="Cambria" w:hAnsi="Cambria"/>
                <w:b/>
                <w:bCs/>
                <w:sz w:val="20"/>
                <w:szCs w:val="20"/>
              </w:rPr>
            </w:pPr>
          </w:p>
          <w:p w14:paraId="7C0147CA" w14:textId="77777777" w:rsidR="00FD0BBE" w:rsidRPr="007C674E" w:rsidRDefault="00FD0BBE" w:rsidP="00E73515">
            <w:pPr>
              <w:pStyle w:val="ListParagraph"/>
              <w:spacing w:line="276" w:lineRule="auto"/>
              <w:ind w:left="0"/>
              <w:jc w:val="both"/>
              <w:rPr>
                <w:rFonts w:ascii="Cambria" w:hAnsi="Cambria"/>
                <w:b/>
                <w:bCs/>
                <w:sz w:val="20"/>
                <w:szCs w:val="20"/>
              </w:rPr>
            </w:pPr>
            <w:r w:rsidRPr="007C674E">
              <w:rPr>
                <w:rFonts w:ascii="Cambria" w:hAnsi="Cambria"/>
                <w:b/>
                <w:bCs/>
                <w:sz w:val="20"/>
                <w:szCs w:val="20"/>
              </w:rPr>
              <w:t xml:space="preserve">Reuniones de trabajo </w:t>
            </w:r>
          </w:p>
          <w:p w14:paraId="44EAFD9C" w14:textId="77777777" w:rsidR="00FD0BBE" w:rsidRPr="007C674E" w:rsidRDefault="00FD0BBE" w:rsidP="00E73515">
            <w:pPr>
              <w:pStyle w:val="ListParagraph"/>
              <w:spacing w:line="276" w:lineRule="auto"/>
              <w:ind w:left="0"/>
              <w:jc w:val="both"/>
              <w:rPr>
                <w:rFonts w:ascii="Cambria" w:hAnsi="Cambria"/>
                <w:b/>
                <w:bCs/>
                <w:sz w:val="20"/>
                <w:szCs w:val="20"/>
              </w:rPr>
            </w:pPr>
          </w:p>
        </w:tc>
        <w:tc>
          <w:tcPr>
            <w:tcW w:w="5402" w:type="dxa"/>
            <w:shd w:val="clear" w:color="auto" w:fill="D9E2F3" w:themeFill="accent5" w:themeFillTint="33"/>
          </w:tcPr>
          <w:p w14:paraId="4B94D5A5" w14:textId="77777777" w:rsidR="00FD0BBE" w:rsidRPr="007C674E" w:rsidRDefault="00FD0BBE" w:rsidP="00E73515">
            <w:pPr>
              <w:spacing w:line="276" w:lineRule="auto"/>
              <w:jc w:val="both"/>
              <w:rPr>
                <w:rFonts w:ascii="Cambria" w:hAnsi="Cambria" w:cs="Calibri Light"/>
                <w:color w:val="000000" w:themeColor="text1"/>
                <w:sz w:val="20"/>
                <w:szCs w:val="20"/>
                <w:lang w:val="es-ES_tradnl"/>
              </w:rPr>
            </w:pPr>
          </w:p>
          <w:p w14:paraId="629D792A" w14:textId="77777777" w:rsidR="00FD0BBE" w:rsidRPr="007C674E" w:rsidRDefault="0061070C" w:rsidP="00E73515">
            <w:pPr>
              <w:spacing w:line="276" w:lineRule="auto"/>
              <w:rPr>
                <w:rFonts w:ascii="Cambria" w:hAnsi="Cambria" w:cs="Calibri Light"/>
                <w:color w:val="000000" w:themeColor="text1"/>
                <w:sz w:val="20"/>
                <w:szCs w:val="20"/>
                <w:lang w:val="es-ES_tradnl"/>
              </w:rPr>
            </w:pPr>
            <w:r w:rsidRPr="007C674E">
              <w:rPr>
                <w:rFonts w:ascii="Cambria" w:hAnsi="Cambria" w:cs="Calibri Light"/>
                <w:color w:val="000000" w:themeColor="text1"/>
                <w:sz w:val="20"/>
                <w:szCs w:val="20"/>
                <w:lang w:val="es-ES_tradnl"/>
              </w:rPr>
              <w:t>N/A</w:t>
            </w:r>
          </w:p>
          <w:p w14:paraId="3DEEC669" w14:textId="77777777" w:rsidR="00FD0BBE" w:rsidRPr="007C674E" w:rsidRDefault="00FD0BBE" w:rsidP="00E73515">
            <w:pPr>
              <w:spacing w:line="276" w:lineRule="auto"/>
              <w:rPr>
                <w:rFonts w:ascii="Cambria" w:hAnsi="Cambria"/>
                <w:sz w:val="20"/>
                <w:szCs w:val="20"/>
              </w:rPr>
            </w:pPr>
          </w:p>
        </w:tc>
      </w:tr>
      <w:tr w:rsidR="00FD0BBE" w:rsidRPr="007C674E" w14:paraId="7B320E9B" w14:textId="77777777" w:rsidTr="00C52ED0">
        <w:tc>
          <w:tcPr>
            <w:tcW w:w="4247" w:type="dxa"/>
            <w:shd w:val="clear" w:color="auto" w:fill="B4C6E7" w:themeFill="accent5" w:themeFillTint="66"/>
          </w:tcPr>
          <w:p w14:paraId="65F78ECD" w14:textId="77777777" w:rsidR="00FD0BBE" w:rsidRPr="007C674E" w:rsidRDefault="00FD0BBE" w:rsidP="00E73515">
            <w:pPr>
              <w:spacing w:line="276" w:lineRule="auto"/>
              <w:jc w:val="both"/>
              <w:rPr>
                <w:rFonts w:ascii="Cambria" w:hAnsi="Cambria"/>
                <w:b/>
                <w:bCs/>
                <w:sz w:val="20"/>
                <w:szCs w:val="20"/>
              </w:rPr>
            </w:pPr>
            <w:r w:rsidRPr="007C674E">
              <w:rPr>
                <w:rFonts w:ascii="Cambria" w:hAnsi="Cambria"/>
                <w:b/>
                <w:bCs/>
                <w:sz w:val="20"/>
                <w:szCs w:val="20"/>
              </w:rPr>
              <w:t>Acuerdo de cumplimiento</w:t>
            </w:r>
          </w:p>
          <w:p w14:paraId="3656B9AB" w14:textId="77777777" w:rsidR="00FD0BBE" w:rsidRPr="007C674E" w:rsidRDefault="00FD0BBE" w:rsidP="00E73515">
            <w:pPr>
              <w:spacing w:line="276" w:lineRule="auto"/>
              <w:jc w:val="both"/>
              <w:rPr>
                <w:rFonts w:ascii="Cambria" w:hAnsi="Cambria"/>
                <w:b/>
                <w:bCs/>
                <w:sz w:val="20"/>
                <w:szCs w:val="20"/>
              </w:rPr>
            </w:pPr>
          </w:p>
        </w:tc>
        <w:tc>
          <w:tcPr>
            <w:tcW w:w="5402" w:type="dxa"/>
            <w:shd w:val="clear" w:color="auto" w:fill="D9E2F3" w:themeFill="accent5" w:themeFillTint="33"/>
          </w:tcPr>
          <w:p w14:paraId="10D60163" w14:textId="77777777" w:rsidR="00FD0BBE" w:rsidRPr="007C674E" w:rsidRDefault="0061070C" w:rsidP="0061070C">
            <w:pPr>
              <w:pStyle w:val="ListParagraph"/>
              <w:spacing w:line="276" w:lineRule="auto"/>
              <w:ind w:left="0"/>
              <w:rPr>
                <w:rFonts w:ascii="Cambria" w:hAnsi="Cambria"/>
                <w:sz w:val="20"/>
                <w:szCs w:val="20"/>
              </w:rPr>
            </w:pPr>
            <w:r w:rsidRPr="007C674E">
              <w:rPr>
                <w:rFonts w:ascii="Cambria" w:hAnsi="Cambria"/>
                <w:sz w:val="20"/>
                <w:szCs w:val="20"/>
              </w:rPr>
              <w:t>9 de marzo de 2018</w:t>
            </w:r>
            <w:r w:rsidR="00FD0BBE" w:rsidRPr="007C674E">
              <w:rPr>
                <w:rFonts w:ascii="Cambria" w:hAnsi="Cambria"/>
                <w:sz w:val="20"/>
                <w:szCs w:val="20"/>
              </w:rPr>
              <w:t xml:space="preserve"> </w:t>
            </w:r>
          </w:p>
        </w:tc>
      </w:tr>
      <w:tr w:rsidR="00FD0BBE" w:rsidRPr="007C674E" w14:paraId="2B6CA41A" w14:textId="77777777" w:rsidTr="00C52ED0">
        <w:tc>
          <w:tcPr>
            <w:tcW w:w="4247" w:type="dxa"/>
            <w:shd w:val="clear" w:color="auto" w:fill="B4C6E7" w:themeFill="accent5" w:themeFillTint="66"/>
          </w:tcPr>
          <w:p w14:paraId="1F510222" w14:textId="77777777" w:rsidR="00FD0BBE" w:rsidRPr="007C674E" w:rsidRDefault="00FD0BBE" w:rsidP="00E73515">
            <w:pPr>
              <w:pStyle w:val="ListParagraph"/>
              <w:spacing w:line="276" w:lineRule="auto"/>
              <w:ind w:left="0"/>
              <w:jc w:val="both"/>
              <w:rPr>
                <w:rFonts w:ascii="Cambria" w:hAnsi="Cambria"/>
                <w:b/>
                <w:bCs/>
                <w:sz w:val="20"/>
                <w:szCs w:val="20"/>
              </w:rPr>
            </w:pPr>
            <w:r w:rsidRPr="007C674E">
              <w:rPr>
                <w:rFonts w:ascii="Cambria" w:hAnsi="Cambria"/>
                <w:b/>
                <w:bCs/>
                <w:sz w:val="20"/>
                <w:szCs w:val="20"/>
              </w:rPr>
              <w:t xml:space="preserve">Recomendaciones y cláusulas totalmente cumplidas </w:t>
            </w:r>
          </w:p>
          <w:p w14:paraId="45FB0818" w14:textId="77777777" w:rsidR="00FD0BBE" w:rsidRPr="007C674E" w:rsidRDefault="00FD0BBE" w:rsidP="00E73515">
            <w:pPr>
              <w:pStyle w:val="ListParagraph"/>
              <w:spacing w:line="276" w:lineRule="auto"/>
              <w:ind w:left="0"/>
              <w:jc w:val="both"/>
              <w:rPr>
                <w:rFonts w:ascii="Cambria" w:hAnsi="Cambria"/>
                <w:sz w:val="20"/>
                <w:szCs w:val="20"/>
              </w:rPr>
            </w:pPr>
          </w:p>
        </w:tc>
        <w:tc>
          <w:tcPr>
            <w:tcW w:w="5402" w:type="dxa"/>
            <w:shd w:val="clear" w:color="auto" w:fill="D9E2F3" w:themeFill="accent5" w:themeFillTint="33"/>
          </w:tcPr>
          <w:p w14:paraId="0B0F30AA" w14:textId="5D130776" w:rsidR="00FD0BBE" w:rsidRPr="007C674E" w:rsidRDefault="0061070C" w:rsidP="0061070C">
            <w:pPr>
              <w:spacing w:line="276" w:lineRule="auto"/>
              <w:jc w:val="both"/>
              <w:rPr>
                <w:rFonts w:ascii="Cambria" w:hAnsi="Cambria"/>
                <w:sz w:val="20"/>
                <w:szCs w:val="20"/>
              </w:rPr>
            </w:pPr>
            <w:r w:rsidRPr="007C674E">
              <w:rPr>
                <w:rFonts w:ascii="Cambria" w:hAnsi="Cambria"/>
                <w:sz w:val="20"/>
                <w:szCs w:val="20"/>
              </w:rPr>
              <w:t>Cl</w:t>
            </w:r>
            <w:r w:rsidR="00BA107B">
              <w:rPr>
                <w:rFonts w:ascii="Cambria" w:hAnsi="Cambria"/>
                <w:sz w:val="20"/>
                <w:szCs w:val="20"/>
              </w:rPr>
              <w:t>á</w:t>
            </w:r>
            <w:r w:rsidRPr="007C674E">
              <w:rPr>
                <w:rFonts w:ascii="Cambria" w:hAnsi="Cambria"/>
                <w:sz w:val="20"/>
                <w:szCs w:val="20"/>
              </w:rPr>
              <w:t>usula</w:t>
            </w:r>
            <w:r w:rsidR="00570040" w:rsidRPr="007C674E">
              <w:rPr>
                <w:rFonts w:ascii="Cambria" w:hAnsi="Cambria"/>
                <w:sz w:val="20"/>
                <w:szCs w:val="20"/>
              </w:rPr>
              <w:t xml:space="preserve"> A</w:t>
            </w:r>
            <w:r w:rsidR="00EB6059" w:rsidRPr="007C674E">
              <w:rPr>
                <w:rStyle w:val="FootnoteReference"/>
                <w:rFonts w:ascii="Cambria" w:hAnsi="Cambria"/>
                <w:sz w:val="20"/>
                <w:szCs w:val="20"/>
              </w:rPr>
              <w:footnoteReference w:id="1"/>
            </w:r>
            <w:r w:rsidR="00EB6059">
              <w:rPr>
                <w:rFonts w:ascii="Cambria" w:hAnsi="Cambria"/>
                <w:sz w:val="20"/>
                <w:szCs w:val="20"/>
              </w:rPr>
              <w:t>, C</w:t>
            </w:r>
            <w:r w:rsidR="00EB6059">
              <w:rPr>
                <w:rStyle w:val="FootnoteReference"/>
                <w:rFonts w:ascii="Cambria" w:hAnsi="Cambria"/>
                <w:sz w:val="20"/>
                <w:szCs w:val="20"/>
              </w:rPr>
              <w:footnoteReference w:id="2"/>
            </w:r>
            <w:r w:rsidR="00EB6059">
              <w:rPr>
                <w:rFonts w:ascii="Cambria" w:hAnsi="Cambria"/>
                <w:sz w:val="20"/>
                <w:szCs w:val="20"/>
              </w:rPr>
              <w:t xml:space="preserve"> y E</w:t>
            </w:r>
            <w:r w:rsidR="00EB6059">
              <w:rPr>
                <w:rStyle w:val="FootnoteReference"/>
                <w:rFonts w:ascii="Cambria" w:hAnsi="Cambria"/>
                <w:sz w:val="20"/>
                <w:szCs w:val="20"/>
              </w:rPr>
              <w:footnoteReference w:id="3"/>
            </w:r>
            <w:r w:rsidR="00570040" w:rsidRPr="007C674E">
              <w:rPr>
                <w:rFonts w:ascii="Cambria" w:hAnsi="Cambria"/>
                <w:sz w:val="20"/>
                <w:szCs w:val="20"/>
              </w:rPr>
              <w:t xml:space="preserve"> </w:t>
            </w:r>
            <w:r w:rsidR="00B86AE1">
              <w:rPr>
                <w:rFonts w:ascii="Cambria" w:hAnsi="Cambria"/>
                <w:sz w:val="20"/>
                <w:szCs w:val="20"/>
              </w:rPr>
              <w:t xml:space="preserve">de la Recomendación 1 del </w:t>
            </w:r>
            <w:r w:rsidR="00FD0BBE" w:rsidRPr="007C674E">
              <w:rPr>
                <w:rFonts w:ascii="Cambria" w:hAnsi="Cambria"/>
                <w:sz w:val="20"/>
                <w:szCs w:val="20"/>
              </w:rPr>
              <w:t>Acuerdo de Cumplimiento</w:t>
            </w:r>
            <w:r w:rsidR="00570040" w:rsidRPr="007C674E">
              <w:rPr>
                <w:rFonts w:ascii="Cambria" w:hAnsi="Cambria"/>
                <w:sz w:val="20"/>
                <w:szCs w:val="20"/>
              </w:rPr>
              <w:t>; Recomendación 2</w:t>
            </w:r>
            <w:r w:rsidR="00570040" w:rsidRPr="007C674E">
              <w:rPr>
                <w:rStyle w:val="FootnoteReference"/>
                <w:rFonts w:ascii="Cambria" w:hAnsi="Cambria"/>
                <w:sz w:val="20"/>
                <w:szCs w:val="20"/>
              </w:rPr>
              <w:footnoteReference w:id="4"/>
            </w:r>
            <w:r w:rsidR="00570040" w:rsidRPr="007C674E">
              <w:rPr>
                <w:rFonts w:ascii="Cambria" w:hAnsi="Cambria"/>
                <w:sz w:val="20"/>
                <w:szCs w:val="20"/>
              </w:rPr>
              <w:t>; Cl</w:t>
            </w:r>
            <w:r w:rsidR="00BA107B">
              <w:rPr>
                <w:rFonts w:ascii="Cambria" w:hAnsi="Cambria"/>
                <w:sz w:val="20"/>
                <w:szCs w:val="20"/>
              </w:rPr>
              <w:t>á</w:t>
            </w:r>
            <w:r w:rsidR="00570040" w:rsidRPr="007C674E">
              <w:rPr>
                <w:rFonts w:ascii="Cambria" w:hAnsi="Cambria"/>
                <w:sz w:val="20"/>
                <w:szCs w:val="20"/>
              </w:rPr>
              <w:t xml:space="preserve">usula B </w:t>
            </w:r>
            <w:r w:rsidR="00B86AE1">
              <w:rPr>
                <w:rFonts w:ascii="Cambria" w:hAnsi="Cambria"/>
                <w:sz w:val="20"/>
                <w:szCs w:val="20"/>
              </w:rPr>
              <w:t xml:space="preserve">de la Recomendación 4 </w:t>
            </w:r>
            <w:r w:rsidR="00570040" w:rsidRPr="007C674E">
              <w:rPr>
                <w:rFonts w:ascii="Cambria" w:hAnsi="Cambria"/>
                <w:sz w:val="20"/>
                <w:szCs w:val="20"/>
              </w:rPr>
              <w:t>del Acuerdo de Cumplimiento</w:t>
            </w:r>
            <w:r w:rsidR="00570040" w:rsidRPr="007C674E">
              <w:rPr>
                <w:rStyle w:val="FootnoteReference"/>
                <w:rFonts w:ascii="Cambria" w:hAnsi="Cambria"/>
                <w:sz w:val="20"/>
                <w:szCs w:val="20"/>
              </w:rPr>
              <w:footnoteReference w:id="5"/>
            </w:r>
            <w:r w:rsidR="006D354F">
              <w:rPr>
                <w:rFonts w:ascii="Cambria" w:hAnsi="Cambria"/>
                <w:sz w:val="20"/>
                <w:szCs w:val="20"/>
              </w:rPr>
              <w:t>.</w:t>
            </w:r>
          </w:p>
        </w:tc>
      </w:tr>
      <w:tr w:rsidR="00FD0BBE" w:rsidRPr="007C674E" w14:paraId="4435E263" w14:textId="77777777" w:rsidTr="00C52ED0">
        <w:tc>
          <w:tcPr>
            <w:tcW w:w="4247" w:type="dxa"/>
            <w:shd w:val="clear" w:color="auto" w:fill="B4C6E7" w:themeFill="accent5" w:themeFillTint="66"/>
          </w:tcPr>
          <w:p w14:paraId="049F31CB" w14:textId="77777777" w:rsidR="00FD0BBE" w:rsidRPr="007C674E" w:rsidRDefault="00FD0BBE" w:rsidP="00E73515">
            <w:pPr>
              <w:pStyle w:val="ListParagraph"/>
              <w:spacing w:line="276" w:lineRule="auto"/>
              <w:ind w:left="0"/>
              <w:jc w:val="both"/>
              <w:rPr>
                <w:rFonts w:ascii="Cambria" w:hAnsi="Cambria"/>
                <w:b/>
                <w:sz w:val="20"/>
                <w:szCs w:val="20"/>
              </w:rPr>
            </w:pPr>
          </w:p>
          <w:p w14:paraId="0FEBC470" w14:textId="77777777" w:rsidR="00FD0BBE" w:rsidRPr="007C674E" w:rsidRDefault="00FD0BBE" w:rsidP="00E73515">
            <w:pPr>
              <w:pStyle w:val="ListParagraph"/>
              <w:spacing w:line="276" w:lineRule="auto"/>
              <w:ind w:left="0"/>
              <w:jc w:val="both"/>
              <w:rPr>
                <w:rFonts w:ascii="Cambria" w:hAnsi="Cambria"/>
                <w:b/>
                <w:sz w:val="20"/>
                <w:szCs w:val="20"/>
              </w:rPr>
            </w:pPr>
            <w:r w:rsidRPr="007C674E">
              <w:rPr>
                <w:rFonts w:ascii="Cambria" w:hAnsi="Cambria"/>
                <w:b/>
                <w:sz w:val="20"/>
                <w:szCs w:val="20"/>
              </w:rPr>
              <w:t>Solicitud de información de la CIDH en 2023</w:t>
            </w:r>
          </w:p>
          <w:p w14:paraId="53128261" w14:textId="77777777" w:rsidR="00FD0BBE" w:rsidRPr="007C674E" w:rsidRDefault="00FD0BBE" w:rsidP="00E73515">
            <w:pPr>
              <w:pStyle w:val="ListParagraph"/>
              <w:spacing w:line="276" w:lineRule="auto"/>
              <w:ind w:left="0"/>
              <w:jc w:val="both"/>
              <w:rPr>
                <w:rFonts w:ascii="Cambria" w:hAnsi="Cambria"/>
                <w:b/>
                <w:sz w:val="20"/>
                <w:szCs w:val="20"/>
              </w:rPr>
            </w:pPr>
          </w:p>
          <w:p w14:paraId="4F975361" w14:textId="77777777" w:rsidR="00FD0BBE" w:rsidRPr="007C674E" w:rsidRDefault="00FD0BBE" w:rsidP="00E73515">
            <w:pPr>
              <w:pStyle w:val="ListParagraph"/>
              <w:spacing w:line="276" w:lineRule="auto"/>
              <w:ind w:left="0"/>
              <w:jc w:val="both"/>
              <w:rPr>
                <w:rFonts w:ascii="Cambria" w:hAnsi="Cambria"/>
                <w:b/>
                <w:sz w:val="20"/>
                <w:szCs w:val="20"/>
              </w:rPr>
            </w:pPr>
            <w:r w:rsidRPr="007C674E">
              <w:rPr>
                <w:rFonts w:ascii="Cambria" w:hAnsi="Cambria"/>
                <w:b/>
                <w:sz w:val="20"/>
                <w:szCs w:val="20"/>
              </w:rPr>
              <w:t>Información del Estado en 2023</w:t>
            </w:r>
          </w:p>
          <w:p w14:paraId="62486C05" w14:textId="77777777" w:rsidR="00FD0BBE" w:rsidRPr="007C674E" w:rsidRDefault="00FD0BBE" w:rsidP="00E73515">
            <w:pPr>
              <w:pStyle w:val="ListParagraph"/>
              <w:spacing w:line="276" w:lineRule="auto"/>
              <w:ind w:left="0"/>
              <w:jc w:val="both"/>
              <w:rPr>
                <w:rFonts w:ascii="Cambria" w:hAnsi="Cambria"/>
                <w:sz w:val="20"/>
                <w:szCs w:val="20"/>
              </w:rPr>
            </w:pPr>
          </w:p>
        </w:tc>
        <w:tc>
          <w:tcPr>
            <w:tcW w:w="5402" w:type="dxa"/>
            <w:shd w:val="clear" w:color="auto" w:fill="D9E2F3" w:themeFill="accent5" w:themeFillTint="33"/>
          </w:tcPr>
          <w:p w14:paraId="4101652C" w14:textId="77777777" w:rsidR="00FD0BBE" w:rsidRPr="007C674E" w:rsidRDefault="00FD0BBE" w:rsidP="00E73515">
            <w:pPr>
              <w:spacing w:line="276" w:lineRule="auto"/>
              <w:jc w:val="both"/>
              <w:rPr>
                <w:rFonts w:ascii="Cambria" w:hAnsi="Cambria"/>
                <w:sz w:val="20"/>
                <w:szCs w:val="20"/>
              </w:rPr>
            </w:pPr>
          </w:p>
          <w:p w14:paraId="0F1F3409" w14:textId="7DBE3DA2" w:rsidR="00FD0BBE" w:rsidRPr="007C674E" w:rsidRDefault="45028BC5" w:rsidP="7E27E48A">
            <w:pPr>
              <w:spacing w:line="276" w:lineRule="auto"/>
              <w:jc w:val="both"/>
              <w:rPr>
                <w:rFonts w:ascii="Cambria" w:hAnsi="Cambria"/>
                <w:sz w:val="20"/>
                <w:szCs w:val="20"/>
              </w:rPr>
            </w:pPr>
            <w:r w:rsidRPr="007C674E">
              <w:rPr>
                <w:rFonts w:ascii="Cambria" w:hAnsi="Cambria"/>
                <w:sz w:val="20"/>
                <w:szCs w:val="20"/>
              </w:rPr>
              <w:t>1 de agosto de 2023</w:t>
            </w:r>
          </w:p>
          <w:p w14:paraId="4B99056E" w14:textId="77777777" w:rsidR="00FD0BBE" w:rsidRPr="007C674E" w:rsidRDefault="00FD0BBE" w:rsidP="00E73515">
            <w:pPr>
              <w:spacing w:line="276" w:lineRule="auto"/>
              <w:jc w:val="both"/>
              <w:rPr>
                <w:rFonts w:ascii="Cambria" w:hAnsi="Cambria"/>
                <w:sz w:val="20"/>
                <w:szCs w:val="20"/>
              </w:rPr>
            </w:pPr>
          </w:p>
          <w:p w14:paraId="5DF692B5" w14:textId="1D6514D7" w:rsidR="00FD0BBE" w:rsidRPr="007C674E" w:rsidRDefault="009F31C3" w:rsidP="00E73515">
            <w:pPr>
              <w:spacing w:line="276" w:lineRule="auto"/>
              <w:jc w:val="both"/>
              <w:rPr>
                <w:rFonts w:ascii="Cambria" w:hAnsi="Cambria"/>
                <w:sz w:val="20"/>
                <w:szCs w:val="20"/>
              </w:rPr>
            </w:pPr>
            <w:r w:rsidRPr="007C674E">
              <w:rPr>
                <w:rFonts w:ascii="Cambria" w:hAnsi="Cambria"/>
                <w:sz w:val="20"/>
                <w:szCs w:val="20"/>
              </w:rPr>
              <w:t>2 de octubre de 2023</w:t>
            </w:r>
          </w:p>
          <w:p w14:paraId="1299C43A" w14:textId="77777777" w:rsidR="00FD0BBE" w:rsidRPr="007C674E" w:rsidRDefault="00FD0BBE" w:rsidP="00E73515">
            <w:pPr>
              <w:spacing w:line="276" w:lineRule="auto"/>
              <w:jc w:val="both"/>
              <w:rPr>
                <w:rFonts w:ascii="Cambria" w:hAnsi="Cambria"/>
                <w:sz w:val="20"/>
                <w:szCs w:val="20"/>
              </w:rPr>
            </w:pPr>
          </w:p>
        </w:tc>
      </w:tr>
      <w:tr w:rsidR="00FD0BBE" w:rsidRPr="007C674E" w14:paraId="26184870" w14:textId="77777777" w:rsidTr="00C52ED0">
        <w:tc>
          <w:tcPr>
            <w:tcW w:w="4247" w:type="dxa"/>
            <w:shd w:val="clear" w:color="auto" w:fill="B4C6E7" w:themeFill="accent5" w:themeFillTint="66"/>
          </w:tcPr>
          <w:p w14:paraId="444A3B38" w14:textId="77777777" w:rsidR="00FD0BBE" w:rsidRPr="007C674E" w:rsidRDefault="00FD0BBE" w:rsidP="00E73515">
            <w:pPr>
              <w:pStyle w:val="ListParagraph"/>
              <w:spacing w:line="276" w:lineRule="auto"/>
              <w:ind w:left="0"/>
              <w:jc w:val="both"/>
              <w:rPr>
                <w:rFonts w:ascii="Cambria" w:hAnsi="Cambria"/>
                <w:b/>
                <w:sz w:val="20"/>
                <w:szCs w:val="20"/>
              </w:rPr>
            </w:pPr>
            <w:r w:rsidRPr="007C674E">
              <w:rPr>
                <w:rFonts w:ascii="Cambria" w:hAnsi="Cambria"/>
                <w:b/>
                <w:sz w:val="20"/>
                <w:szCs w:val="20"/>
              </w:rPr>
              <w:t>Información de Parte Peticionaria en 2023</w:t>
            </w:r>
          </w:p>
        </w:tc>
        <w:tc>
          <w:tcPr>
            <w:tcW w:w="5402" w:type="dxa"/>
            <w:shd w:val="clear" w:color="auto" w:fill="D9E2F3" w:themeFill="accent5" w:themeFillTint="33"/>
          </w:tcPr>
          <w:p w14:paraId="289564E0" w14:textId="39583132" w:rsidR="00FD0BBE" w:rsidRPr="007C674E" w:rsidRDefault="0015181C" w:rsidP="00E73515">
            <w:pPr>
              <w:spacing w:line="276" w:lineRule="auto"/>
              <w:jc w:val="both"/>
              <w:rPr>
                <w:rFonts w:ascii="Cambria" w:hAnsi="Cambria"/>
                <w:sz w:val="20"/>
                <w:szCs w:val="20"/>
              </w:rPr>
            </w:pPr>
            <w:r w:rsidRPr="007C674E">
              <w:rPr>
                <w:rFonts w:ascii="Cambria" w:hAnsi="Cambria"/>
                <w:sz w:val="20"/>
                <w:szCs w:val="20"/>
              </w:rPr>
              <w:t>1</w:t>
            </w:r>
            <w:r w:rsidR="001E45C1" w:rsidRPr="007C674E">
              <w:rPr>
                <w:rFonts w:ascii="Cambria" w:hAnsi="Cambria"/>
                <w:sz w:val="20"/>
                <w:szCs w:val="20"/>
              </w:rPr>
              <w:t>2</w:t>
            </w:r>
            <w:r w:rsidRPr="007C674E">
              <w:rPr>
                <w:rFonts w:ascii="Cambria" w:hAnsi="Cambria"/>
                <w:sz w:val="20"/>
                <w:szCs w:val="20"/>
              </w:rPr>
              <w:t xml:space="preserve"> de octubre de 2023</w:t>
            </w:r>
          </w:p>
        </w:tc>
      </w:tr>
    </w:tbl>
    <w:p w14:paraId="09C69B4C" w14:textId="77777777" w:rsidR="00561ED3" w:rsidRPr="007C674E" w:rsidRDefault="00561ED3" w:rsidP="00561ED3">
      <w:pPr>
        <w:pStyle w:val="ListParagraph"/>
        <w:spacing w:after="0" w:line="276" w:lineRule="auto"/>
        <w:ind w:left="360"/>
        <w:jc w:val="both"/>
        <w:rPr>
          <w:rFonts w:ascii="Cambria" w:hAnsi="Cambria"/>
          <w:sz w:val="20"/>
          <w:szCs w:val="20"/>
        </w:rPr>
      </w:pPr>
    </w:p>
    <w:p w14:paraId="250B8E72" w14:textId="3EA79EA4" w:rsidR="0000242D" w:rsidRDefault="0047476C" w:rsidP="00EF7072">
      <w:pPr>
        <w:ind w:left="-284"/>
        <w:jc w:val="both"/>
        <w:rPr>
          <w:rFonts w:ascii="Cambria" w:hAnsi="Cambria"/>
          <w:sz w:val="20"/>
          <w:szCs w:val="20"/>
        </w:rPr>
      </w:pPr>
      <w:r w:rsidRPr="007C674E">
        <w:rPr>
          <w:rFonts w:ascii="Cambria" w:hAnsi="Cambria"/>
          <w:sz w:val="20"/>
          <w:szCs w:val="20"/>
        </w:rPr>
        <w:t>La</w:t>
      </w:r>
      <w:r w:rsidR="00561ED3" w:rsidRPr="007C674E">
        <w:rPr>
          <w:rFonts w:ascii="Cambria" w:hAnsi="Cambria"/>
          <w:sz w:val="20"/>
          <w:szCs w:val="20"/>
        </w:rPr>
        <w:t xml:space="preserve"> Comisión observa que las </w:t>
      </w:r>
      <w:r w:rsidRPr="007C674E">
        <w:rPr>
          <w:rFonts w:ascii="Cambria" w:hAnsi="Cambria"/>
          <w:sz w:val="20"/>
          <w:szCs w:val="20"/>
        </w:rPr>
        <w:t xml:space="preserve">partes firmaron un Acuerdo de Cumplimiento para llevar a cabo la implementación de las recomendaciones del </w:t>
      </w:r>
      <w:r w:rsidR="00C64B3D">
        <w:rPr>
          <w:rFonts w:ascii="Cambria" w:hAnsi="Cambria"/>
          <w:sz w:val="20"/>
          <w:szCs w:val="20"/>
        </w:rPr>
        <w:t>I</w:t>
      </w:r>
      <w:r w:rsidRPr="007C674E">
        <w:rPr>
          <w:rFonts w:ascii="Cambria" w:hAnsi="Cambria"/>
          <w:sz w:val="20"/>
          <w:szCs w:val="20"/>
        </w:rPr>
        <w:t xml:space="preserve">nforme de </w:t>
      </w:r>
      <w:r w:rsidR="00C64B3D">
        <w:rPr>
          <w:rFonts w:ascii="Cambria" w:hAnsi="Cambria"/>
          <w:sz w:val="20"/>
          <w:szCs w:val="20"/>
        </w:rPr>
        <w:t>F</w:t>
      </w:r>
      <w:r w:rsidRPr="007C674E">
        <w:rPr>
          <w:rFonts w:ascii="Cambria" w:hAnsi="Cambria"/>
          <w:sz w:val="20"/>
          <w:szCs w:val="20"/>
        </w:rPr>
        <w:t>ondo</w:t>
      </w:r>
      <w:r w:rsidR="00C64B3D">
        <w:rPr>
          <w:rFonts w:ascii="Cambria" w:hAnsi="Cambria"/>
          <w:sz w:val="20"/>
          <w:szCs w:val="20"/>
        </w:rPr>
        <w:t xml:space="preserve"> del caso</w:t>
      </w:r>
      <w:r w:rsidRPr="007C674E">
        <w:rPr>
          <w:rFonts w:ascii="Cambria" w:hAnsi="Cambria"/>
          <w:sz w:val="20"/>
          <w:szCs w:val="20"/>
        </w:rPr>
        <w:t xml:space="preserve">. </w:t>
      </w:r>
      <w:r w:rsidR="0000242D">
        <w:rPr>
          <w:rFonts w:ascii="Cambria" w:hAnsi="Cambria"/>
          <w:sz w:val="20"/>
          <w:szCs w:val="20"/>
        </w:rPr>
        <w:t>Además, en el marco del seguimiento de</w:t>
      </w:r>
      <w:r w:rsidR="006A46E5">
        <w:rPr>
          <w:rFonts w:ascii="Cambria" w:hAnsi="Cambria"/>
          <w:sz w:val="20"/>
          <w:szCs w:val="20"/>
        </w:rPr>
        <w:t xml:space="preserve"> este caso</w:t>
      </w:r>
      <w:r w:rsidR="0000242D">
        <w:rPr>
          <w:rFonts w:ascii="Cambria" w:hAnsi="Cambria"/>
          <w:sz w:val="20"/>
          <w:szCs w:val="20"/>
        </w:rPr>
        <w:t xml:space="preserve">, la CIDH ha accedido a información relevante sobre avances y desafíos en el cumplimiento de cada recomendación del Informe de Fondo. </w:t>
      </w:r>
    </w:p>
    <w:p w14:paraId="3612723D" w14:textId="390C2646" w:rsidR="00FD514E" w:rsidRDefault="006A0B04" w:rsidP="00C96089">
      <w:pPr>
        <w:ind w:left="-284"/>
        <w:jc w:val="both"/>
        <w:rPr>
          <w:rFonts w:ascii="Cambria" w:hAnsi="Cambria"/>
          <w:sz w:val="20"/>
          <w:szCs w:val="20"/>
        </w:rPr>
      </w:pPr>
      <w:r w:rsidRPr="007C674E">
        <w:rPr>
          <w:rFonts w:ascii="Cambria" w:hAnsi="Cambria"/>
          <w:sz w:val="20"/>
          <w:szCs w:val="20"/>
        </w:rPr>
        <w:t>En 2022, el Estado de Chile informó sobre varios avances en el cumplimiento de las recomendaciones formuladas</w:t>
      </w:r>
      <w:r w:rsidR="003F597B">
        <w:rPr>
          <w:rFonts w:ascii="Cambria" w:hAnsi="Cambria"/>
          <w:sz w:val="20"/>
          <w:szCs w:val="20"/>
        </w:rPr>
        <w:t>.</w:t>
      </w:r>
      <w:r w:rsidRPr="007C674E">
        <w:rPr>
          <w:rFonts w:ascii="Cambria" w:hAnsi="Cambria"/>
          <w:sz w:val="20"/>
          <w:szCs w:val="20"/>
        </w:rPr>
        <w:t xml:space="preserve"> </w:t>
      </w:r>
      <w:r w:rsidR="003F597B">
        <w:rPr>
          <w:rFonts w:ascii="Cambria" w:hAnsi="Cambria"/>
          <w:sz w:val="20"/>
          <w:szCs w:val="20"/>
        </w:rPr>
        <w:t>E</w:t>
      </w:r>
      <w:r w:rsidRPr="007C674E">
        <w:rPr>
          <w:rFonts w:ascii="Cambria" w:hAnsi="Cambria"/>
          <w:sz w:val="20"/>
          <w:szCs w:val="20"/>
        </w:rPr>
        <w:t>n relación con la primera recomendación, se mencionó que el Estado hab</w:t>
      </w:r>
      <w:r w:rsidR="00561ED3" w:rsidRPr="007C674E">
        <w:rPr>
          <w:rFonts w:ascii="Cambria" w:hAnsi="Cambria"/>
          <w:sz w:val="20"/>
          <w:szCs w:val="20"/>
        </w:rPr>
        <w:t>r</w:t>
      </w:r>
      <w:r w:rsidRPr="007C674E">
        <w:rPr>
          <w:rFonts w:ascii="Cambria" w:hAnsi="Cambria"/>
          <w:sz w:val="20"/>
          <w:szCs w:val="20"/>
        </w:rPr>
        <w:t>ía realizado gestiones relacionadas con la entrega de maquinaria y acuerdos para apoyar a la familia Lemún a través de un Programa de Desarrollo Indígena Asociativo y un Plan de Siembras. Además, se informó sobre la entrega de maquinaria y el reembolso de los gastos incurridos debido a retrasos en la entrega, proceso que se completó en octubre de 2022. En materia de salud, e</w:t>
      </w:r>
      <w:r w:rsidR="00561ED3" w:rsidRPr="007C674E">
        <w:rPr>
          <w:rFonts w:ascii="Cambria" w:hAnsi="Cambria"/>
          <w:sz w:val="20"/>
          <w:szCs w:val="20"/>
        </w:rPr>
        <w:t>l Estado</w:t>
      </w:r>
      <w:r w:rsidRPr="007C674E">
        <w:rPr>
          <w:rFonts w:ascii="Cambria" w:hAnsi="Cambria"/>
          <w:sz w:val="20"/>
          <w:szCs w:val="20"/>
        </w:rPr>
        <w:t xml:space="preserve"> indicó que se han implementado acciones para brindar atención médica a la familia Lemún y </w:t>
      </w:r>
      <w:r w:rsidR="003F597B">
        <w:rPr>
          <w:rFonts w:ascii="Cambria" w:hAnsi="Cambria"/>
          <w:sz w:val="20"/>
          <w:szCs w:val="20"/>
        </w:rPr>
        <w:t xml:space="preserve">que </w:t>
      </w:r>
      <w:r w:rsidRPr="007C674E">
        <w:rPr>
          <w:rFonts w:ascii="Cambria" w:hAnsi="Cambria"/>
          <w:sz w:val="20"/>
          <w:szCs w:val="20"/>
        </w:rPr>
        <w:t>se han realizado esfuerzos para garantizar atención gratuita y oportuna en el sistema de salud público. También</w:t>
      </w:r>
      <w:r w:rsidR="003F597B">
        <w:rPr>
          <w:rFonts w:ascii="Cambria" w:hAnsi="Cambria"/>
          <w:sz w:val="20"/>
          <w:szCs w:val="20"/>
        </w:rPr>
        <w:t>, el Estado</w:t>
      </w:r>
      <w:r w:rsidRPr="007C674E">
        <w:rPr>
          <w:rFonts w:ascii="Cambria" w:hAnsi="Cambria"/>
          <w:sz w:val="20"/>
          <w:szCs w:val="20"/>
        </w:rPr>
        <w:t xml:space="preserve"> mencionó que se realizar</w:t>
      </w:r>
      <w:r w:rsidR="00561ED3" w:rsidRPr="007C674E">
        <w:rPr>
          <w:rFonts w:ascii="Cambria" w:hAnsi="Cambria"/>
          <w:sz w:val="20"/>
          <w:szCs w:val="20"/>
        </w:rPr>
        <w:t>ía</w:t>
      </w:r>
      <w:r w:rsidRPr="007C674E">
        <w:rPr>
          <w:rFonts w:ascii="Cambria" w:hAnsi="Cambria"/>
          <w:sz w:val="20"/>
          <w:szCs w:val="20"/>
        </w:rPr>
        <w:t xml:space="preserve"> un nuevo levantamiento de las necesidades de salud de las víctimas en 2022.</w:t>
      </w:r>
      <w:r w:rsidR="00C96089">
        <w:rPr>
          <w:rFonts w:ascii="Cambria" w:hAnsi="Cambria"/>
          <w:sz w:val="20"/>
          <w:szCs w:val="20"/>
        </w:rPr>
        <w:t xml:space="preserve"> </w:t>
      </w:r>
      <w:r w:rsidRPr="007C674E">
        <w:rPr>
          <w:rFonts w:ascii="Cambria" w:hAnsi="Cambria"/>
          <w:sz w:val="20"/>
          <w:szCs w:val="20"/>
        </w:rPr>
        <w:t xml:space="preserve">En el ámbito de la educación, </w:t>
      </w:r>
      <w:r w:rsidR="00561ED3" w:rsidRPr="007C674E">
        <w:rPr>
          <w:rFonts w:ascii="Cambria" w:hAnsi="Cambria"/>
          <w:sz w:val="20"/>
          <w:szCs w:val="20"/>
        </w:rPr>
        <w:t>el Estado informó</w:t>
      </w:r>
      <w:r w:rsidRPr="007C674E">
        <w:rPr>
          <w:rFonts w:ascii="Cambria" w:hAnsi="Cambria"/>
          <w:sz w:val="20"/>
          <w:szCs w:val="20"/>
        </w:rPr>
        <w:t xml:space="preserve"> que el Sr. Lemún tomó la decisión de no continuar sus estudios. Los peticionarios solicitaron al Estado un plan detallado para superar estos obstáculos y garantizar el apoyo pedagógico necesario. </w:t>
      </w:r>
    </w:p>
    <w:p w14:paraId="10FD154E" w14:textId="14CA78DF" w:rsidR="0000242D" w:rsidRDefault="006A0B04" w:rsidP="00EF7072">
      <w:pPr>
        <w:ind w:left="-284"/>
        <w:jc w:val="both"/>
        <w:rPr>
          <w:rFonts w:ascii="Cambria" w:hAnsi="Cambria"/>
          <w:sz w:val="20"/>
          <w:szCs w:val="20"/>
        </w:rPr>
      </w:pPr>
      <w:r w:rsidRPr="007C674E">
        <w:rPr>
          <w:rFonts w:ascii="Cambria" w:hAnsi="Cambria"/>
          <w:sz w:val="20"/>
          <w:szCs w:val="20"/>
        </w:rPr>
        <w:t>En cuanto a la segunda recomendación,</w:t>
      </w:r>
      <w:r w:rsidR="004709EC">
        <w:rPr>
          <w:rFonts w:ascii="Cambria" w:hAnsi="Cambria"/>
          <w:sz w:val="20"/>
          <w:szCs w:val="20"/>
        </w:rPr>
        <w:t xml:space="preserve"> sobre la investigación de los hechos del caso,</w:t>
      </w:r>
      <w:r w:rsidRPr="007C674E">
        <w:rPr>
          <w:rFonts w:ascii="Cambria" w:hAnsi="Cambria"/>
          <w:sz w:val="20"/>
          <w:szCs w:val="20"/>
        </w:rPr>
        <w:t xml:space="preserve"> </w:t>
      </w:r>
      <w:r w:rsidR="00561ED3" w:rsidRPr="007C674E">
        <w:rPr>
          <w:rFonts w:ascii="Cambria" w:hAnsi="Cambria"/>
          <w:sz w:val="20"/>
          <w:szCs w:val="20"/>
        </w:rPr>
        <w:t xml:space="preserve">la Comisión recibió información </w:t>
      </w:r>
      <w:r w:rsidRPr="007C674E">
        <w:rPr>
          <w:rFonts w:ascii="Cambria" w:hAnsi="Cambria"/>
          <w:sz w:val="20"/>
          <w:szCs w:val="20"/>
        </w:rPr>
        <w:t xml:space="preserve">sobre el proceso judicial relacionado con el homicidio de Alex Lemún. </w:t>
      </w:r>
      <w:r w:rsidR="00FD514E">
        <w:rPr>
          <w:rFonts w:ascii="Cambria" w:hAnsi="Cambria"/>
          <w:sz w:val="20"/>
          <w:szCs w:val="20"/>
        </w:rPr>
        <w:t>Al respecto, conoció que e</w:t>
      </w:r>
      <w:r w:rsidRPr="007C674E">
        <w:rPr>
          <w:rFonts w:ascii="Cambria" w:hAnsi="Cambria"/>
          <w:sz w:val="20"/>
          <w:szCs w:val="20"/>
        </w:rPr>
        <w:t xml:space="preserve">l Mayor (R) de Carabineros Marco Aurelio Treuer Heysen fue acusado y condenado a tres años de presidio menor en su grado medio, aunque se destacó que la condena aún podría ser objeto de recursos. </w:t>
      </w:r>
    </w:p>
    <w:p w14:paraId="50F5E080" w14:textId="07B0DB8A" w:rsidR="0000242D" w:rsidRDefault="006A0B04" w:rsidP="00EF7072">
      <w:pPr>
        <w:ind w:left="-284"/>
        <w:jc w:val="both"/>
        <w:rPr>
          <w:rFonts w:ascii="Cambria" w:hAnsi="Cambria"/>
          <w:sz w:val="20"/>
          <w:szCs w:val="20"/>
        </w:rPr>
      </w:pPr>
      <w:r w:rsidRPr="007C674E">
        <w:rPr>
          <w:rFonts w:ascii="Cambria" w:hAnsi="Cambria"/>
          <w:sz w:val="20"/>
          <w:szCs w:val="20"/>
        </w:rPr>
        <w:t>En relación con la tercera recomendación,</w:t>
      </w:r>
      <w:r w:rsidR="004709EC">
        <w:rPr>
          <w:rFonts w:ascii="Cambria" w:hAnsi="Cambria"/>
          <w:sz w:val="20"/>
          <w:szCs w:val="20"/>
        </w:rPr>
        <w:t xml:space="preserve"> sobre la investigación </w:t>
      </w:r>
      <w:r w:rsidR="002978E7">
        <w:rPr>
          <w:rFonts w:ascii="Cambria" w:hAnsi="Cambria"/>
          <w:sz w:val="20"/>
          <w:szCs w:val="20"/>
        </w:rPr>
        <w:t>por la denegación de justicia e impunidad del caso,</w:t>
      </w:r>
      <w:r w:rsidRPr="007C674E">
        <w:rPr>
          <w:rFonts w:ascii="Cambria" w:hAnsi="Cambria"/>
          <w:sz w:val="20"/>
          <w:szCs w:val="20"/>
        </w:rPr>
        <w:t xml:space="preserve"> el Estado informó sobre medidas relacionadas con los protocolos de actuación en intervenciones para el mantenimiento del orden público y la capacitación de carabineros y jueces en estándares internacionales. Sin embargo, la Comisión destacó la necesidad de contar con indicadores de resultados y más información sobre estas capacitaciones. </w:t>
      </w:r>
    </w:p>
    <w:p w14:paraId="752CBD00" w14:textId="20054C10" w:rsidR="006A0B04" w:rsidRPr="007C674E" w:rsidRDefault="006A0B04" w:rsidP="00EF7072">
      <w:pPr>
        <w:ind w:left="-284"/>
        <w:jc w:val="both"/>
        <w:rPr>
          <w:rFonts w:ascii="Cambria" w:hAnsi="Cambria"/>
          <w:sz w:val="20"/>
          <w:szCs w:val="20"/>
        </w:rPr>
      </w:pPr>
      <w:r w:rsidRPr="007C674E">
        <w:rPr>
          <w:rFonts w:ascii="Cambria" w:hAnsi="Cambria"/>
          <w:sz w:val="20"/>
          <w:szCs w:val="20"/>
        </w:rPr>
        <w:t>Respecto a la cuarta recomendación,</w:t>
      </w:r>
      <w:r w:rsidR="002978E7">
        <w:rPr>
          <w:rFonts w:ascii="Cambria" w:hAnsi="Cambria"/>
          <w:sz w:val="20"/>
          <w:szCs w:val="20"/>
        </w:rPr>
        <w:t xml:space="preserve"> relacionada con garantías de no repetición,</w:t>
      </w:r>
      <w:r w:rsidRPr="007C674E">
        <w:rPr>
          <w:rFonts w:ascii="Cambria" w:hAnsi="Cambria"/>
          <w:sz w:val="20"/>
          <w:szCs w:val="20"/>
        </w:rPr>
        <w:t xml:space="preserve"> </w:t>
      </w:r>
      <w:r w:rsidR="00561ED3" w:rsidRPr="007C674E">
        <w:rPr>
          <w:rFonts w:ascii="Cambria" w:hAnsi="Cambria"/>
          <w:sz w:val="20"/>
          <w:szCs w:val="20"/>
        </w:rPr>
        <w:t>el Estado informó</w:t>
      </w:r>
      <w:r w:rsidRPr="007C674E">
        <w:rPr>
          <w:rFonts w:ascii="Cambria" w:hAnsi="Cambria"/>
          <w:sz w:val="20"/>
          <w:szCs w:val="20"/>
        </w:rPr>
        <w:t xml:space="preserve"> que se han realizado cambios legislativos que restringen la competencia de la justicia militar en casos que involucran a civiles y menores. No obstante, los peticionarios argumentaron que la normativa aún no cumpl</w:t>
      </w:r>
      <w:r w:rsidR="00561ED3" w:rsidRPr="007C674E">
        <w:rPr>
          <w:rFonts w:ascii="Cambria" w:hAnsi="Cambria"/>
          <w:sz w:val="20"/>
          <w:szCs w:val="20"/>
        </w:rPr>
        <w:t>iría</w:t>
      </w:r>
      <w:r w:rsidRPr="007C674E">
        <w:rPr>
          <w:rFonts w:ascii="Cambria" w:hAnsi="Cambria"/>
          <w:sz w:val="20"/>
          <w:szCs w:val="20"/>
        </w:rPr>
        <w:t xml:space="preserve"> con los estándares del Sistema Interamericano de Derechos Humanos. </w:t>
      </w:r>
    </w:p>
    <w:p w14:paraId="2A5013B4" w14:textId="77777777" w:rsidR="00371D60" w:rsidRPr="007C674E" w:rsidRDefault="00371D60" w:rsidP="00371D60">
      <w:pPr>
        <w:pStyle w:val="ListParagraph"/>
        <w:spacing w:after="0" w:line="276" w:lineRule="auto"/>
        <w:ind w:left="360"/>
        <w:jc w:val="both"/>
        <w:rPr>
          <w:rFonts w:ascii="Cambria" w:hAnsi="Cambria"/>
          <w:b/>
          <w:sz w:val="20"/>
          <w:szCs w:val="20"/>
        </w:rPr>
      </w:pPr>
    </w:p>
    <w:p w14:paraId="40A84D44" w14:textId="3F1EE383" w:rsidR="00FD0BBE" w:rsidRPr="007C674E" w:rsidRDefault="00FD0BBE" w:rsidP="00FD0BBE">
      <w:pPr>
        <w:pStyle w:val="ListParagraph"/>
        <w:numPr>
          <w:ilvl w:val="0"/>
          <w:numId w:val="1"/>
        </w:numPr>
        <w:spacing w:after="0" w:line="276" w:lineRule="auto"/>
        <w:jc w:val="both"/>
        <w:rPr>
          <w:rFonts w:ascii="Cambria" w:hAnsi="Cambria"/>
          <w:b/>
          <w:sz w:val="20"/>
          <w:szCs w:val="20"/>
        </w:rPr>
      </w:pPr>
      <w:r w:rsidRPr="007C674E">
        <w:rPr>
          <w:rFonts w:ascii="Cambria" w:hAnsi="Cambria"/>
          <w:b/>
          <w:sz w:val="20"/>
          <w:szCs w:val="20"/>
        </w:rPr>
        <w:t>Medidas que han impactado el cumplimiento del caso</w:t>
      </w:r>
      <w:r w:rsidR="00561ED3" w:rsidRPr="007C674E">
        <w:rPr>
          <w:rStyle w:val="FootnoteReference"/>
          <w:rFonts w:ascii="Cambria" w:hAnsi="Cambria"/>
          <w:b/>
          <w:sz w:val="20"/>
          <w:szCs w:val="20"/>
        </w:rPr>
        <w:footnoteReference w:id="6"/>
      </w:r>
    </w:p>
    <w:p w14:paraId="3461D779" w14:textId="77777777" w:rsidR="00FD0BBE" w:rsidRPr="007C674E" w:rsidRDefault="00FD0BBE" w:rsidP="00FD0BBE">
      <w:pPr>
        <w:pStyle w:val="ListParagraph"/>
        <w:spacing w:after="0" w:line="276" w:lineRule="auto"/>
        <w:ind w:left="360"/>
        <w:jc w:val="both"/>
        <w:rPr>
          <w:rFonts w:ascii="Cambria" w:hAnsi="Cambria"/>
          <w:b/>
          <w:sz w:val="20"/>
          <w:szCs w:val="20"/>
        </w:rPr>
      </w:pPr>
    </w:p>
    <w:tbl>
      <w:tblPr>
        <w:tblStyle w:val="TableGrid"/>
        <w:tblW w:w="9644" w:type="dxa"/>
        <w:tblInd w:w="-284" w:type="dxa"/>
        <w:tblLook w:val="04A0" w:firstRow="1" w:lastRow="0" w:firstColumn="1" w:lastColumn="0" w:noHBand="0" w:noVBand="1"/>
      </w:tblPr>
      <w:tblGrid>
        <w:gridCol w:w="9644"/>
      </w:tblGrid>
      <w:tr w:rsidR="00FD0BBE" w:rsidRPr="007C674E" w14:paraId="6FD67F16" w14:textId="77777777" w:rsidTr="00EF7072">
        <w:tc>
          <w:tcPr>
            <w:tcW w:w="9644" w:type="dxa"/>
            <w:tcBorders>
              <w:top w:val="nil"/>
              <w:left w:val="nil"/>
              <w:bottom w:val="nil"/>
              <w:right w:val="nil"/>
            </w:tcBorders>
            <w:shd w:val="clear" w:color="auto" w:fill="F2F2F2" w:themeFill="background1" w:themeFillShade="F2"/>
          </w:tcPr>
          <w:p w14:paraId="4DD23E20" w14:textId="77777777" w:rsidR="00FD0BBE" w:rsidRPr="007C674E" w:rsidRDefault="00B60A53" w:rsidP="00E73515">
            <w:pPr>
              <w:jc w:val="both"/>
              <w:rPr>
                <w:rFonts w:ascii="Cambria" w:hAnsi="Cambria" w:cs="Calibri Light"/>
                <w:i/>
                <w:color w:val="000000"/>
                <w:sz w:val="20"/>
                <w:szCs w:val="20"/>
                <w:lang w:val="es-ES"/>
              </w:rPr>
            </w:pPr>
            <w:r w:rsidRPr="007C674E">
              <w:rPr>
                <w:rFonts w:ascii="Cambria" w:hAnsi="Cambria" w:cs="Calibri Light"/>
                <w:i/>
                <w:color w:val="000000"/>
                <w:sz w:val="20"/>
                <w:szCs w:val="20"/>
                <w:lang w:val="es-ES"/>
              </w:rPr>
              <w:t>Medidas de rehabilitación</w:t>
            </w:r>
          </w:p>
          <w:p w14:paraId="71C583FF" w14:textId="43EF099E" w:rsidR="00C914AB" w:rsidRPr="007C674E" w:rsidRDefault="00B60A53" w:rsidP="00C914AB">
            <w:pPr>
              <w:pStyle w:val="ListParagraph"/>
              <w:numPr>
                <w:ilvl w:val="0"/>
                <w:numId w:val="8"/>
              </w:numPr>
              <w:ind w:left="360"/>
              <w:jc w:val="both"/>
              <w:rPr>
                <w:rFonts w:ascii="Cambria" w:hAnsi="Cambria" w:cs="Calibri Light"/>
                <w:color w:val="000000"/>
                <w:sz w:val="20"/>
                <w:szCs w:val="20"/>
                <w:lang w:val="es-ES"/>
              </w:rPr>
            </w:pPr>
            <w:r w:rsidRPr="007C674E">
              <w:rPr>
                <w:rFonts w:ascii="Cambria" w:hAnsi="Cambria" w:cs="Calibri Light"/>
                <w:color w:val="000000" w:themeColor="text1"/>
                <w:sz w:val="20"/>
                <w:szCs w:val="20"/>
                <w:lang w:val="es-ES"/>
              </w:rPr>
              <w:t xml:space="preserve">El proceso de entrega de maquinaria para trabajo de la tierra a la familia Lemus, </w:t>
            </w:r>
            <w:r w:rsidR="00F67ACE">
              <w:rPr>
                <w:rFonts w:ascii="Cambria" w:hAnsi="Cambria" w:cs="Calibri Light"/>
                <w:color w:val="000000" w:themeColor="text1"/>
                <w:sz w:val="20"/>
                <w:szCs w:val="20"/>
                <w:lang w:val="es-ES"/>
              </w:rPr>
              <w:t xml:space="preserve">lo cual </w:t>
            </w:r>
            <w:r w:rsidRPr="007C674E">
              <w:rPr>
                <w:rFonts w:ascii="Cambria" w:hAnsi="Cambria" w:cs="Calibri Light"/>
                <w:color w:val="000000" w:themeColor="text1"/>
                <w:sz w:val="20"/>
                <w:szCs w:val="20"/>
                <w:lang w:val="es-ES"/>
              </w:rPr>
              <w:t>inició en septiembre de 2020 y finalizó en diciembre de ese mismo año.</w:t>
            </w:r>
          </w:p>
          <w:p w14:paraId="7DF6B318" w14:textId="77777777" w:rsidR="004D5770" w:rsidRDefault="00C914AB" w:rsidP="00113417">
            <w:pPr>
              <w:pStyle w:val="ListParagraph"/>
              <w:numPr>
                <w:ilvl w:val="0"/>
                <w:numId w:val="8"/>
              </w:numPr>
              <w:ind w:left="360"/>
              <w:jc w:val="both"/>
              <w:rPr>
                <w:rFonts w:ascii="Cambria" w:hAnsi="Cambria" w:cs="Calibri Light"/>
                <w:color w:val="000000" w:themeColor="text1"/>
                <w:sz w:val="20"/>
                <w:szCs w:val="20"/>
                <w:lang w:val="es-ES"/>
              </w:rPr>
            </w:pPr>
            <w:r w:rsidRPr="007C674E">
              <w:rPr>
                <w:rFonts w:ascii="Cambria" w:hAnsi="Cambria" w:cs="Calibri Light"/>
                <w:color w:val="000000" w:themeColor="text1"/>
                <w:sz w:val="20"/>
                <w:szCs w:val="20"/>
                <w:lang w:val="es-ES"/>
              </w:rPr>
              <w:t>Los integrantes de la familia Lemún cuentan con las credenciales que los identifican como beneficiarios del programa PRI LEMUN</w:t>
            </w:r>
            <w:r w:rsidR="00B60A53" w:rsidRPr="007C674E">
              <w:rPr>
                <w:rFonts w:ascii="Cambria" w:hAnsi="Cambria" w:cs="Calibri Light"/>
                <w:color w:val="000000" w:themeColor="text1"/>
                <w:sz w:val="20"/>
                <w:szCs w:val="20"/>
                <w:lang w:val="es-ES"/>
              </w:rPr>
              <w:t xml:space="preserve"> </w:t>
            </w:r>
            <w:r w:rsidRPr="007C674E">
              <w:rPr>
                <w:rFonts w:ascii="Cambria" w:hAnsi="Cambria" w:cs="Calibri Light"/>
                <w:color w:val="000000" w:themeColor="text1"/>
                <w:sz w:val="20"/>
                <w:szCs w:val="20"/>
                <w:lang w:val="es-ES"/>
              </w:rPr>
              <w:t xml:space="preserve">de asistencia en salud. </w:t>
            </w:r>
          </w:p>
          <w:p w14:paraId="329464E0" w14:textId="15D7FAF6" w:rsidR="00C914AB" w:rsidRPr="007C674E" w:rsidRDefault="004D5770" w:rsidP="00113417">
            <w:pPr>
              <w:pStyle w:val="ListParagraph"/>
              <w:numPr>
                <w:ilvl w:val="0"/>
                <w:numId w:val="8"/>
              </w:numPr>
              <w:ind w:left="360"/>
              <w:jc w:val="both"/>
              <w:rPr>
                <w:rFonts w:ascii="Cambria" w:hAnsi="Cambria" w:cs="Calibri Light"/>
                <w:color w:val="000000" w:themeColor="text1"/>
                <w:sz w:val="20"/>
                <w:szCs w:val="20"/>
                <w:lang w:val="es-ES"/>
              </w:rPr>
            </w:pPr>
            <w:r>
              <w:rPr>
                <w:rFonts w:ascii="Cambria" w:hAnsi="Cambria" w:cs="Calibri Light"/>
                <w:color w:val="000000" w:themeColor="text1"/>
                <w:sz w:val="20"/>
                <w:szCs w:val="20"/>
                <w:lang w:val="es-ES"/>
              </w:rPr>
              <w:lastRenderedPageBreak/>
              <w:t>E</w:t>
            </w:r>
            <w:r w:rsidR="00C914AB" w:rsidRPr="007C674E">
              <w:rPr>
                <w:rFonts w:ascii="Cambria" w:hAnsi="Cambria" w:cs="Calibri Light"/>
                <w:color w:val="000000" w:themeColor="text1"/>
                <w:sz w:val="20"/>
                <w:szCs w:val="20"/>
                <w:lang w:val="es-ES"/>
              </w:rPr>
              <w:t xml:space="preserve">n el </w:t>
            </w:r>
            <w:r w:rsidR="00561ED3" w:rsidRPr="007C674E">
              <w:rPr>
                <w:rFonts w:ascii="Cambria" w:hAnsi="Cambria" w:cs="Calibri Light"/>
                <w:color w:val="000000" w:themeColor="text1"/>
                <w:sz w:val="20"/>
                <w:szCs w:val="20"/>
                <w:lang w:val="es-ES"/>
              </w:rPr>
              <w:t>ámbito</w:t>
            </w:r>
            <w:r w:rsidR="00C914AB" w:rsidRPr="007C674E">
              <w:rPr>
                <w:rFonts w:ascii="Cambria" w:hAnsi="Cambria" w:cs="Calibri Light"/>
                <w:color w:val="000000" w:themeColor="text1"/>
                <w:sz w:val="20"/>
                <w:szCs w:val="20"/>
                <w:lang w:val="es-ES"/>
              </w:rPr>
              <w:t xml:space="preserve"> de salud: (i) </w:t>
            </w:r>
            <w:r w:rsidR="00561ED3" w:rsidRPr="007C674E">
              <w:rPr>
                <w:rFonts w:ascii="Cambria" w:hAnsi="Cambria" w:cs="Calibri Light"/>
                <w:color w:val="000000" w:themeColor="text1"/>
                <w:sz w:val="20"/>
                <w:szCs w:val="20"/>
                <w:lang w:val="es-ES"/>
              </w:rPr>
              <w:t>Condición</w:t>
            </w:r>
            <w:r w:rsidR="00C914AB" w:rsidRPr="007C674E">
              <w:rPr>
                <w:rFonts w:ascii="Cambria" w:hAnsi="Cambria" w:cs="Calibri Light"/>
                <w:color w:val="000000" w:themeColor="text1"/>
                <w:sz w:val="20"/>
                <w:szCs w:val="20"/>
                <w:lang w:val="es-ES"/>
              </w:rPr>
              <w:t xml:space="preserve"> de gratuidad en el sistema FONASA; (ii) </w:t>
            </w:r>
            <w:r w:rsidR="00561ED3" w:rsidRPr="007C674E">
              <w:rPr>
                <w:rFonts w:ascii="Cambria" w:hAnsi="Cambria" w:cs="Calibri Light"/>
                <w:color w:val="000000" w:themeColor="text1"/>
                <w:sz w:val="20"/>
                <w:szCs w:val="20"/>
                <w:lang w:val="es-ES"/>
              </w:rPr>
              <w:t>Difusión</w:t>
            </w:r>
            <w:r w:rsidR="00C914AB" w:rsidRPr="007C674E">
              <w:rPr>
                <w:rFonts w:ascii="Cambria" w:hAnsi="Cambria" w:cs="Calibri Light"/>
                <w:color w:val="000000" w:themeColor="text1"/>
                <w:sz w:val="20"/>
                <w:szCs w:val="20"/>
                <w:lang w:val="es-ES"/>
              </w:rPr>
              <w:t xml:space="preserve"> del Acuerdo a los establecimientos de salud de la red asistencial del Servicio de Salud </w:t>
            </w:r>
            <w:r w:rsidR="00561ED3" w:rsidRPr="007C674E">
              <w:rPr>
                <w:rFonts w:ascii="Cambria" w:hAnsi="Cambria" w:cs="Calibri Light"/>
                <w:color w:val="000000" w:themeColor="text1"/>
                <w:sz w:val="20"/>
                <w:szCs w:val="20"/>
                <w:lang w:val="es-ES"/>
              </w:rPr>
              <w:t>Araucanía</w:t>
            </w:r>
            <w:r w:rsidR="00C914AB" w:rsidRPr="007C674E">
              <w:rPr>
                <w:rFonts w:ascii="Cambria" w:hAnsi="Cambria" w:cs="Calibri Light"/>
                <w:color w:val="000000" w:themeColor="text1"/>
                <w:sz w:val="20"/>
                <w:szCs w:val="20"/>
                <w:lang w:val="es-ES"/>
              </w:rPr>
              <w:t xml:space="preserve"> Norte; (iii) </w:t>
            </w:r>
            <w:r w:rsidR="00561ED3" w:rsidRPr="007C674E">
              <w:rPr>
                <w:rFonts w:ascii="Cambria" w:hAnsi="Cambria" w:cs="Calibri Light"/>
                <w:color w:val="000000" w:themeColor="text1"/>
                <w:sz w:val="20"/>
                <w:szCs w:val="20"/>
                <w:lang w:val="es-ES"/>
              </w:rPr>
              <w:t>Incorporación</w:t>
            </w:r>
            <w:r w:rsidR="00C914AB" w:rsidRPr="007C674E">
              <w:rPr>
                <w:rFonts w:ascii="Cambria" w:hAnsi="Cambria" w:cs="Calibri Light"/>
                <w:color w:val="000000" w:themeColor="text1"/>
                <w:sz w:val="20"/>
                <w:szCs w:val="20"/>
                <w:lang w:val="es-ES"/>
              </w:rPr>
              <w:t xml:space="preserve"> de la </w:t>
            </w:r>
            <w:r w:rsidR="00561ED3" w:rsidRPr="007C674E">
              <w:rPr>
                <w:rFonts w:ascii="Cambria" w:hAnsi="Cambria" w:cs="Calibri Light"/>
                <w:color w:val="000000" w:themeColor="text1"/>
                <w:sz w:val="20"/>
                <w:szCs w:val="20"/>
                <w:lang w:val="es-ES"/>
              </w:rPr>
              <w:t>condición</w:t>
            </w:r>
            <w:r w:rsidR="00C914AB" w:rsidRPr="007C674E">
              <w:rPr>
                <w:rFonts w:ascii="Cambria" w:hAnsi="Cambria" w:cs="Calibri Light"/>
                <w:color w:val="000000" w:themeColor="text1"/>
                <w:sz w:val="20"/>
                <w:szCs w:val="20"/>
                <w:lang w:val="es-ES"/>
              </w:rPr>
              <w:t xml:space="preserve"> PRI LEMÚN en los sistemas </w:t>
            </w:r>
            <w:r w:rsidR="00561ED3" w:rsidRPr="007C674E">
              <w:rPr>
                <w:rFonts w:ascii="Cambria" w:hAnsi="Cambria" w:cs="Calibri Light"/>
                <w:color w:val="000000" w:themeColor="text1"/>
                <w:sz w:val="20"/>
                <w:szCs w:val="20"/>
                <w:lang w:val="es-ES"/>
              </w:rPr>
              <w:t>informáticos</w:t>
            </w:r>
            <w:r w:rsidR="00C914AB" w:rsidRPr="007C674E">
              <w:rPr>
                <w:rFonts w:ascii="Cambria" w:hAnsi="Cambria" w:cs="Calibri Light"/>
                <w:color w:val="000000" w:themeColor="text1"/>
                <w:sz w:val="20"/>
                <w:szCs w:val="20"/>
                <w:lang w:val="es-ES"/>
              </w:rPr>
              <w:t xml:space="preserve"> del Servicio de Salud </w:t>
            </w:r>
            <w:r w:rsidR="00561ED3" w:rsidRPr="007C674E">
              <w:rPr>
                <w:rFonts w:ascii="Cambria" w:hAnsi="Cambria" w:cs="Calibri Light"/>
                <w:color w:val="000000" w:themeColor="text1"/>
                <w:sz w:val="20"/>
                <w:szCs w:val="20"/>
                <w:lang w:val="es-ES"/>
              </w:rPr>
              <w:t>Araucanía</w:t>
            </w:r>
            <w:r w:rsidR="00C914AB" w:rsidRPr="007C674E">
              <w:rPr>
                <w:rFonts w:ascii="Cambria" w:hAnsi="Cambria" w:cs="Calibri Light"/>
                <w:color w:val="000000" w:themeColor="text1"/>
                <w:sz w:val="20"/>
                <w:szCs w:val="20"/>
                <w:lang w:val="es-ES"/>
              </w:rPr>
              <w:t xml:space="preserve"> Norte; (iv) Certificados que avalan la </w:t>
            </w:r>
            <w:r w:rsidR="00561ED3" w:rsidRPr="007C674E">
              <w:rPr>
                <w:rFonts w:ascii="Cambria" w:hAnsi="Cambria" w:cs="Calibri Light"/>
                <w:color w:val="000000" w:themeColor="text1"/>
                <w:sz w:val="20"/>
                <w:szCs w:val="20"/>
                <w:lang w:val="es-ES"/>
              </w:rPr>
              <w:t>condición</w:t>
            </w:r>
            <w:r w:rsidR="00C914AB" w:rsidRPr="007C674E">
              <w:rPr>
                <w:rFonts w:ascii="Cambria" w:hAnsi="Cambria" w:cs="Calibri Light"/>
                <w:color w:val="000000" w:themeColor="text1"/>
                <w:sz w:val="20"/>
                <w:szCs w:val="20"/>
                <w:lang w:val="es-ES"/>
              </w:rPr>
              <w:t xml:space="preserve"> PRI LEMÚN a las beneficiarias hospitalizadas. </w:t>
            </w:r>
          </w:p>
          <w:p w14:paraId="3CF2D8B6" w14:textId="77777777" w:rsidR="00B60A53" w:rsidRPr="007C674E" w:rsidRDefault="00B60A53" w:rsidP="00C914AB">
            <w:pPr>
              <w:jc w:val="both"/>
              <w:rPr>
                <w:rFonts w:ascii="Cambria" w:hAnsi="Cambria" w:cs="Calibri Light"/>
                <w:color w:val="000000"/>
                <w:sz w:val="20"/>
                <w:szCs w:val="20"/>
                <w:lang w:val="es-ES"/>
              </w:rPr>
            </w:pPr>
          </w:p>
          <w:p w14:paraId="4C10D89C" w14:textId="77777777" w:rsidR="00C914AB" w:rsidRPr="007C674E" w:rsidRDefault="00A45433" w:rsidP="00C914AB">
            <w:pPr>
              <w:jc w:val="both"/>
              <w:rPr>
                <w:rFonts w:ascii="Cambria" w:hAnsi="Cambria" w:cs="Calibri Light"/>
                <w:i/>
                <w:color w:val="000000"/>
                <w:sz w:val="20"/>
                <w:szCs w:val="20"/>
                <w:lang w:val="es-ES"/>
              </w:rPr>
            </w:pPr>
            <w:r w:rsidRPr="007C674E">
              <w:rPr>
                <w:rFonts w:ascii="Cambria" w:hAnsi="Cambria" w:cs="Calibri Light"/>
                <w:i/>
                <w:color w:val="000000"/>
                <w:sz w:val="20"/>
                <w:szCs w:val="20"/>
                <w:lang w:val="es-ES"/>
              </w:rPr>
              <w:t>Acceso a la j</w:t>
            </w:r>
            <w:r w:rsidR="00C914AB" w:rsidRPr="007C674E">
              <w:rPr>
                <w:rFonts w:ascii="Cambria" w:hAnsi="Cambria" w:cs="Calibri Light"/>
                <w:i/>
                <w:color w:val="000000"/>
                <w:sz w:val="20"/>
                <w:szCs w:val="20"/>
                <w:lang w:val="es-ES"/>
              </w:rPr>
              <w:t>usticia</w:t>
            </w:r>
          </w:p>
          <w:p w14:paraId="4C707A4E" w14:textId="76693903" w:rsidR="00C914AB" w:rsidRPr="007C674E" w:rsidRDefault="007E12FE" w:rsidP="00C914AB">
            <w:pPr>
              <w:numPr>
                <w:ilvl w:val="0"/>
                <w:numId w:val="8"/>
              </w:numPr>
              <w:ind w:left="360"/>
              <w:jc w:val="both"/>
              <w:rPr>
                <w:rFonts w:ascii="Cambria" w:hAnsi="Cambria" w:cs="Calibri Light"/>
                <w:color w:val="000000" w:themeColor="text1"/>
                <w:sz w:val="20"/>
                <w:szCs w:val="20"/>
                <w:lang w:val="es-ES"/>
              </w:rPr>
            </w:pPr>
            <w:r>
              <w:rPr>
                <w:rFonts w:ascii="Cambria" w:hAnsi="Cambria" w:cs="Calibri Light"/>
                <w:color w:val="000000" w:themeColor="text1"/>
                <w:sz w:val="20"/>
                <w:szCs w:val="20"/>
                <w:lang w:val="es-ES"/>
              </w:rPr>
              <w:t>E</w:t>
            </w:r>
            <w:r w:rsidR="00C914AB" w:rsidRPr="007C674E">
              <w:rPr>
                <w:rFonts w:ascii="Cambria" w:hAnsi="Cambria" w:cs="Calibri Light"/>
                <w:color w:val="000000" w:themeColor="text1"/>
                <w:sz w:val="20"/>
                <w:szCs w:val="20"/>
                <w:lang w:val="es-ES"/>
              </w:rPr>
              <w:t>l 26 de octubre de 2022, el Tribunal Oral en lo Penal de Angol declaró culpable del delito de homicidio simple al Carabinero Marco Aurelio Treuer Heysen, por el asesinato del joven mapuche Alex Lemún, cometido en noviembre de 2002 en la comuna de Angol.</w:t>
            </w:r>
          </w:p>
          <w:p w14:paraId="0FB78278" w14:textId="77777777" w:rsidR="00C914AB" w:rsidRPr="007C674E" w:rsidRDefault="00C914AB" w:rsidP="00C914AB">
            <w:pPr>
              <w:jc w:val="both"/>
              <w:rPr>
                <w:rFonts w:ascii="Cambria" w:hAnsi="Cambria" w:cs="Calibri Light"/>
                <w:color w:val="000000"/>
                <w:sz w:val="20"/>
                <w:szCs w:val="20"/>
                <w:lang w:val="es-ES"/>
              </w:rPr>
            </w:pPr>
          </w:p>
          <w:p w14:paraId="12BAA59C" w14:textId="77777777" w:rsidR="00A45433" w:rsidRPr="007C674E" w:rsidRDefault="00A45433" w:rsidP="00C914AB">
            <w:pPr>
              <w:jc w:val="both"/>
              <w:rPr>
                <w:rFonts w:ascii="Cambria" w:hAnsi="Cambria" w:cs="Calibri Light"/>
                <w:i/>
                <w:color w:val="000000"/>
                <w:sz w:val="20"/>
                <w:szCs w:val="20"/>
                <w:lang w:val="es-ES"/>
              </w:rPr>
            </w:pPr>
            <w:r w:rsidRPr="007C674E">
              <w:rPr>
                <w:rFonts w:ascii="Cambria" w:hAnsi="Cambria" w:cs="Calibri Light"/>
                <w:i/>
                <w:color w:val="000000"/>
                <w:sz w:val="20"/>
                <w:szCs w:val="20"/>
                <w:lang w:val="es-ES"/>
              </w:rPr>
              <w:t>Legislación y normativa</w:t>
            </w:r>
          </w:p>
          <w:p w14:paraId="6CF5E12E" w14:textId="3A4786B4" w:rsidR="00A45433" w:rsidRPr="007C674E" w:rsidRDefault="00EE3F44" w:rsidP="00A45433">
            <w:pPr>
              <w:pStyle w:val="ListParagraph"/>
              <w:numPr>
                <w:ilvl w:val="0"/>
                <w:numId w:val="10"/>
              </w:numPr>
              <w:jc w:val="both"/>
              <w:rPr>
                <w:rFonts w:ascii="Cambria" w:hAnsi="Cambria" w:cs="Calibri Light"/>
                <w:color w:val="000000"/>
                <w:sz w:val="20"/>
                <w:szCs w:val="20"/>
                <w:lang w:val="es-ES"/>
              </w:rPr>
            </w:pPr>
            <w:r>
              <w:rPr>
                <w:rFonts w:ascii="Cambria" w:hAnsi="Cambria" w:cs="Calibri Light"/>
                <w:color w:val="000000"/>
                <w:sz w:val="20"/>
                <w:szCs w:val="20"/>
                <w:lang w:val="es-ES"/>
              </w:rPr>
              <w:t>L</w:t>
            </w:r>
            <w:r w:rsidR="00A45433" w:rsidRPr="007C674E">
              <w:rPr>
                <w:rFonts w:ascii="Cambria" w:hAnsi="Cambria" w:cs="Calibri Light"/>
                <w:color w:val="000000"/>
                <w:sz w:val="20"/>
                <w:szCs w:val="20"/>
                <w:lang w:val="es-ES"/>
              </w:rPr>
              <w:t xml:space="preserve">a jurisdicción penal militar ha sido limitada por la </w:t>
            </w:r>
            <w:r w:rsidR="007E12FE">
              <w:rPr>
                <w:rFonts w:ascii="Cambria" w:hAnsi="Cambria" w:cs="Calibri Light"/>
                <w:color w:val="000000"/>
                <w:sz w:val="20"/>
                <w:szCs w:val="20"/>
                <w:lang w:val="es-ES"/>
              </w:rPr>
              <w:t>L</w:t>
            </w:r>
            <w:r w:rsidR="00A45433" w:rsidRPr="007C674E">
              <w:rPr>
                <w:rFonts w:ascii="Cambria" w:hAnsi="Cambria" w:cs="Calibri Light"/>
                <w:color w:val="000000"/>
                <w:sz w:val="20"/>
                <w:szCs w:val="20"/>
                <w:lang w:val="es-ES"/>
              </w:rPr>
              <w:t xml:space="preserve">ey </w:t>
            </w:r>
            <w:r w:rsidR="007E12FE" w:rsidRPr="00EE3F44">
              <w:rPr>
                <w:rFonts w:ascii="Cambria" w:hAnsi="Cambria"/>
                <w:bCs/>
                <w:color w:val="000000" w:themeColor="text1"/>
                <w:sz w:val="20"/>
                <w:szCs w:val="20"/>
                <w:lang w:val="es-ES"/>
              </w:rPr>
              <w:t>Nº</w:t>
            </w:r>
            <w:r w:rsidR="007E12FE" w:rsidRPr="007C674E">
              <w:rPr>
                <w:rFonts w:ascii="Cambria" w:hAnsi="Cambria" w:cs="Calibri Light"/>
                <w:color w:val="000000"/>
                <w:sz w:val="20"/>
                <w:szCs w:val="20"/>
                <w:lang w:val="es-ES"/>
              </w:rPr>
              <w:t xml:space="preserve"> </w:t>
            </w:r>
            <w:r w:rsidR="00A45433" w:rsidRPr="007C674E">
              <w:rPr>
                <w:rFonts w:ascii="Cambria" w:hAnsi="Cambria" w:cs="Calibri Light"/>
                <w:color w:val="000000"/>
                <w:sz w:val="20"/>
                <w:szCs w:val="20"/>
                <w:lang w:val="es-ES"/>
              </w:rPr>
              <w:t>20.968, que tipifica los delitos de tortura y de tratos crueles, inhumanos y degradantes, promulgada el 11 de noviembre de 2016</w:t>
            </w:r>
            <w:r>
              <w:rPr>
                <w:rFonts w:ascii="Cambria" w:hAnsi="Cambria" w:cs="Calibri Light"/>
                <w:color w:val="000000"/>
                <w:sz w:val="20"/>
                <w:szCs w:val="20"/>
                <w:lang w:val="es-ES"/>
              </w:rPr>
              <w:t xml:space="preserve"> y</w:t>
            </w:r>
            <w:r w:rsidR="00A45433" w:rsidRPr="007C674E">
              <w:rPr>
                <w:rFonts w:ascii="Cambria" w:hAnsi="Cambria" w:cs="Calibri Light"/>
                <w:color w:val="000000"/>
                <w:sz w:val="20"/>
                <w:szCs w:val="20"/>
                <w:lang w:val="es-ES"/>
              </w:rPr>
              <w:t xml:space="preserve"> publicada en el Diario Oficial de 22 de noviembre de 2016. Dicha ley introduce cambios a la </w:t>
            </w:r>
            <w:r w:rsidR="006D70FB">
              <w:rPr>
                <w:rFonts w:ascii="Cambria" w:hAnsi="Cambria" w:cs="Calibri Light"/>
                <w:color w:val="000000"/>
                <w:sz w:val="20"/>
                <w:szCs w:val="20"/>
                <w:lang w:val="es-ES"/>
              </w:rPr>
              <w:t>L</w:t>
            </w:r>
            <w:r w:rsidR="00A45433" w:rsidRPr="007C674E">
              <w:rPr>
                <w:rFonts w:ascii="Cambria" w:hAnsi="Cambria" w:cs="Calibri Light"/>
                <w:color w:val="000000"/>
                <w:sz w:val="20"/>
                <w:szCs w:val="20"/>
                <w:lang w:val="es-ES"/>
              </w:rPr>
              <w:t xml:space="preserve">ey </w:t>
            </w:r>
            <w:r w:rsidR="00B86AE1" w:rsidRPr="006D70FB">
              <w:rPr>
                <w:rFonts w:ascii="Cambria" w:hAnsi="Cambria"/>
                <w:bCs/>
                <w:color w:val="000000" w:themeColor="text1"/>
                <w:sz w:val="20"/>
                <w:szCs w:val="20"/>
                <w:lang w:val="es-ES"/>
              </w:rPr>
              <w:t>Nº</w:t>
            </w:r>
            <w:r w:rsidR="00B86AE1" w:rsidRPr="007C674E">
              <w:rPr>
                <w:rFonts w:ascii="Cambria" w:hAnsi="Cambria" w:cs="Calibri Light"/>
                <w:color w:val="000000"/>
                <w:sz w:val="20"/>
                <w:szCs w:val="20"/>
                <w:lang w:val="es-ES"/>
              </w:rPr>
              <w:t xml:space="preserve"> 20.477</w:t>
            </w:r>
            <w:r w:rsidR="00A45433" w:rsidRPr="007C674E">
              <w:rPr>
                <w:rFonts w:ascii="Cambria" w:hAnsi="Cambria" w:cs="Calibri Light"/>
                <w:color w:val="000000"/>
                <w:sz w:val="20"/>
                <w:szCs w:val="20"/>
                <w:lang w:val="es-ES"/>
              </w:rPr>
              <w:t>, que modifica la competencia de Tribunales Militares, restringiendo la posibilidad de que civiles y menores de edad estén sujetos a la competencia de la justicia militar, ni en calidad de víctimas ni en calidad de imputados.</w:t>
            </w:r>
          </w:p>
          <w:p w14:paraId="1FC39945" w14:textId="77777777" w:rsidR="00F65ACF" w:rsidRPr="007C674E" w:rsidRDefault="00F65ACF" w:rsidP="00F65ACF">
            <w:pPr>
              <w:jc w:val="both"/>
              <w:rPr>
                <w:rFonts w:ascii="Cambria" w:hAnsi="Cambria" w:cs="Calibri Light"/>
                <w:color w:val="000000"/>
                <w:sz w:val="20"/>
                <w:szCs w:val="20"/>
                <w:lang w:val="es-ES"/>
              </w:rPr>
            </w:pPr>
          </w:p>
          <w:p w14:paraId="2B0AAC75" w14:textId="77777777" w:rsidR="00F65ACF" w:rsidRPr="007C674E" w:rsidRDefault="00F65ACF" w:rsidP="00F65ACF">
            <w:pPr>
              <w:jc w:val="both"/>
              <w:rPr>
                <w:rFonts w:ascii="Cambria" w:hAnsi="Cambria" w:cs="Calibri Light"/>
                <w:i/>
                <w:color w:val="000000"/>
                <w:sz w:val="20"/>
                <w:szCs w:val="20"/>
                <w:lang w:val="es-ES"/>
              </w:rPr>
            </w:pPr>
            <w:r w:rsidRPr="007C674E">
              <w:rPr>
                <w:rFonts w:ascii="Cambria" w:hAnsi="Cambria" w:cs="Calibri Light"/>
                <w:i/>
                <w:color w:val="000000"/>
                <w:sz w:val="20"/>
                <w:szCs w:val="20"/>
                <w:lang w:val="es-ES"/>
              </w:rPr>
              <w:t>Fortalecimiento Institucional</w:t>
            </w:r>
          </w:p>
          <w:p w14:paraId="00FBF44B" w14:textId="15885D16" w:rsidR="00FE5D6B" w:rsidRPr="007C674E" w:rsidRDefault="00F65ACF" w:rsidP="00271A97">
            <w:pPr>
              <w:pStyle w:val="ListParagraph"/>
              <w:numPr>
                <w:ilvl w:val="0"/>
                <w:numId w:val="10"/>
              </w:numPr>
              <w:jc w:val="both"/>
              <w:rPr>
                <w:i/>
                <w:iCs/>
                <w:lang w:val="es-ES"/>
              </w:rPr>
            </w:pPr>
            <w:r w:rsidRPr="007C674E">
              <w:rPr>
                <w:rFonts w:ascii="Cambria" w:hAnsi="Cambria" w:cs="Calibri Light"/>
                <w:color w:val="000000" w:themeColor="text1"/>
                <w:sz w:val="20"/>
                <w:szCs w:val="20"/>
                <w:lang w:val="es-ES"/>
              </w:rPr>
              <w:t>El 29 de julio de 2019, mediante orden general 2675, se actualizó el nuevo Programa Nacional de Derechos Humanos, con enfoque en materia de uso de la fuerza, multiculturalidad y grupos vulnerables.</w:t>
            </w:r>
          </w:p>
          <w:p w14:paraId="0562CB0E" w14:textId="5231A39A" w:rsidR="00FD0BBE" w:rsidRPr="00B86AE1" w:rsidRDefault="00FE5D6B" w:rsidP="00B86AE1">
            <w:pPr>
              <w:pStyle w:val="ListParagraph"/>
              <w:numPr>
                <w:ilvl w:val="0"/>
                <w:numId w:val="2"/>
              </w:numPr>
              <w:spacing w:line="276" w:lineRule="auto"/>
              <w:jc w:val="both"/>
              <w:rPr>
                <w:rFonts w:ascii="Cambria" w:hAnsi="Cambria"/>
                <w:b/>
                <w:sz w:val="20"/>
                <w:szCs w:val="20"/>
              </w:rPr>
            </w:pPr>
            <w:r w:rsidRPr="007C674E">
              <w:rPr>
                <w:rFonts w:ascii="Cambria" w:hAnsi="Cambria"/>
                <w:sz w:val="20"/>
                <w:szCs w:val="20"/>
                <w:lang w:val="es-ES"/>
              </w:rPr>
              <w:t>Jornadas de capacitación</w:t>
            </w:r>
            <w:r w:rsidR="00B86AE1">
              <w:rPr>
                <w:rFonts w:ascii="Cambria" w:hAnsi="Cambria"/>
                <w:sz w:val="20"/>
                <w:szCs w:val="20"/>
                <w:lang w:val="es-ES"/>
              </w:rPr>
              <w:t xml:space="preserve"> en 2020 </w:t>
            </w:r>
            <w:r w:rsidR="00B86AE1" w:rsidRPr="007C674E">
              <w:rPr>
                <w:rFonts w:ascii="Cambria" w:hAnsi="Cambria"/>
                <w:sz w:val="20"/>
                <w:szCs w:val="20"/>
                <w:lang w:val="es-ES"/>
              </w:rPr>
              <w:t>en</w:t>
            </w:r>
            <w:r w:rsidRPr="007C674E">
              <w:rPr>
                <w:rFonts w:ascii="Cambria" w:hAnsi="Cambria"/>
                <w:sz w:val="20"/>
                <w:szCs w:val="20"/>
                <w:lang w:val="es-ES"/>
              </w:rPr>
              <w:t xml:space="preserve"> la Zona Araucanía Control Orden Público</w:t>
            </w:r>
            <w:r w:rsidR="00B86AE1">
              <w:rPr>
                <w:rFonts w:ascii="Cambria" w:hAnsi="Cambria"/>
                <w:sz w:val="20"/>
                <w:szCs w:val="20"/>
                <w:lang w:val="es-ES"/>
              </w:rPr>
              <w:t>.</w:t>
            </w:r>
          </w:p>
        </w:tc>
      </w:tr>
    </w:tbl>
    <w:p w14:paraId="34CE0A41" w14:textId="77777777" w:rsidR="00FD0BBE" w:rsidRPr="007C674E" w:rsidRDefault="00FD0BBE" w:rsidP="00FD0BBE">
      <w:pPr>
        <w:spacing w:after="0" w:line="276" w:lineRule="auto"/>
        <w:jc w:val="both"/>
        <w:rPr>
          <w:rFonts w:ascii="Cambria" w:hAnsi="Cambria"/>
          <w:b/>
          <w:sz w:val="20"/>
          <w:szCs w:val="20"/>
        </w:rPr>
      </w:pPr>
    </w:p>
    <w:p w14:paraId="3CDBC1F4" w14:textId="77777777" w:rsidR="00FD0BBE" w:rsidRPr="007C674E" w:rsidRDefault="00FD0BBE" w:rsidP="00FD0BBE">
      <w:pPr>
        <w:pStyle w:val="ListParagraph"/>
        <w:numPr>
          <w:ilvl w:val="0"/>
          <w:numId w:val="1"/>
        </w:numPr>
        <w:spacing w:after="0" w:line="276" w:lineRule="auto"/>
        <w:jc w:val="both"/>
        <w:rPr>
          <w:rFonts w:ascii="Cambria" w:hAnsi="Cambria"/>
          <w:b/>
          <w:sz w:val="20"/>
          <w:szCs w:val="20"/>
        </w:rPr>
      </w:pPr>
      <w:r w:rsidRPr="007C674E">
        <w:rPr>
          <w:noProof/>
          <w:sz w:val="20"/>
          <w:szCs w:val="20"/>
          <w:lang w:eastAsia="es-CO"/>
        </w:rPr>
        <w:drawing>
          <wp:anchor distT="0" distB="0" distL="114300" distR="114300" simplePos="0" relativeHeight="251659264" behindDoc="1" locked="0" layoutInCell="1" allowOverlap="1" wp14:anchorId="4D7E7467" wp14:editId="15889830">
            <wp:simplePos x="0" y="0"/>
            <wp:positionH relativeFrom="margin">
              <wp:align>right</wp:align>
            </wp:positionH>
            <wp:positionV relativeFrom="paragraph">
              <wp:posOffset>292735</wp:posOffset>
            </wp:positionV>
            <wp:extent cx="6114415" cy="1836420"/>
            <wp:effectExtent l="0" t="0" r="6985" b="17780"/>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7C674E">
        <w:rPr>
          <w:rFonts w:ascii="Cambria" w:hAnsi="Cambria"/>
          <w:b/>
          <w:sz w:val="20"/>
          <w:szCs w:val="20"/>
        </w:rPr>
        <w:t xml:space="preserve">Estado general de cumplimiento de las recomendaciones </w:t>
      </w:r>
    </w:p>
    <w:p w14:paraId="62EBF3C5" w14:textId="77777777" w:rsidR="00FD0BBE" w:rsidRPr="007C674E" w:rsidRDefault="00FD0BBE" w:rsidP="00FD0BBE">
      <w:pPr>
        <w:spacing w:after="0" w:line="276" w:lineRule="auto"/>
        <w:jc w:val="both"/>
        <w:rPr>
          <w:rFonts w:ascii="Cambria" w:hAnsi="Cambria"/>
          <w:b/>
          <w:sz w:val="20"/>
          <w:szCs w:val="20"/>
        </w:rPr>
      </w:pPr>
    </w:p>
    <w:p w14:paraId="61B3F5E1" w14:textId="77777777" w:rsidR="00FD0BBE" w:rsidRPr="007C674E" w:rsidRDefault="00FD0BBE" w:rsidP="00FD0BBE">
      <w:pPr>
        <w:pStyle w:val="ListParagraph"/>
        <w:numPr>
          <w:ilvl w:val="0"/>
          <w:numId w:val="1"/>
        </w:numPr>
        <w:spacing w:after="0" w:line="276" w:lineRule="auto"/>
        <w:jc w:val="both"/>
        <w:rPr>
          <w:rFonts w:ascii="Cambria" w:hAnsi="Cambria"/>
          <w:sz w:val="20"/>
          <w:szCs w:val="20"/>
        </w:rPr>
      </w:pPr>
      <w:r w:rsidRPr="007C674E">
        <w:rPr>
          <w:rFonts w:ascii="Cambria" w:hAnsi="Cambria"/>
          <w:b/>
          <w:sz w:val="20"/>
          <w:szCs w:val="20"/>
        </w:rPr>
        <w:t>Recomendaciones y cláusulas de acuerdos de cumplimiento bajo seguimiento de la CIDH</w:t>
      </w:r>
    </w:p>
    <w:p w14:paraId="0CB0374E" w14:textId="77777777" w:rsidR="00B86AE1" w:rsidRPr="008F2A32" w:rsidRDefault="00B86AE1" w:rsidP="008F2A32">
      <w:pPr>
        <w:spacing w:after="0" w:line="276" w:lineRule="auto"/>
        <w:jc w:val="both"/>
        <w:rPr>
          <w:rFonts w:ascii="Cambria" w:hAnsi="Cambria"/>
          <w:b/>
          <w:sz w:val="20"/>
          <w:szCs w:val="20"/>
        </w:rPr>
      </w:pPr>
    </w:p>
    <w:p w14:paraId="23D183EF" w14:textId="77777777" w:rsidR="00FD0BBE" w:rsidRPr="007C674E" w:rsidRDefault="00FD0BBE" w:rsidP="00FD0BBE">
      <w:pPr>
        <w:pStyle w:val="ListParagraph"/>
        <w:numPr>
          <w:ilvl w:val="0"/>
          <w:numId w:val="3"/>
        </w:numPr>
        <w:spacing w:after="0" w:line="276" w:lineRule="auto"/>
        <w:jc w:val="both"/>
        <w:rPr>
          <w:rFonts w:ascii="Cambria" w:hAnsi="Cambria"/>
          <w:b/>
          <w:sz w:val="20"/>
          <w:szCs w:val="20"/>
        </w:rPr>
      </w:pPr>
      <w:r w:rsidRPr="007C674E">
        <w:rPr>
          <w:rFonts w:ascii="Cambria" w:hAnsi="Cambria"/>
          <w:b/>
          <w:sz w:val="20"/>
          <w:szCs w:val="20"/>
        </w:rPr>
        <w:t>Primera recomendación</w:t>
      </w:r>
    </w:p>
    <w:p w14:paraId="2946DB82" w14:textId="77777777" w:rsidR="00FD0BBE" w:rsidRPr="007C674E" w:rsidRDefault="00FD0BBE" w:rsidP="00FD0BBE">
      <w:pPr>
        <w:pStyle w:val="ListParagraph"/>
        <w:spacing w:after="0" w:line="276" w:lineRule="auto"/>
        <w:ind w:left="360"/>
        <w:jc w:val="both"/>
        <w:rPr>
          <w:rFonts w:ascii="Cambria" w:hAnsi="Cambria"/>
          <w:b/>
          <w:sz w:val="20"/>
          <w:szCs w:val="20"/>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2250"/>
        <w:gridCol w:w="2340"/>
      </w:tblGrid>
      <w:tr w:rsidR="00FD0BBE" w:rsidRPr="008F2A32" w14:paraId="7BCDB762" w14:textId="77777777" w:rsidTr="00EF7072">
        <w:tc>
          <w:tcPr>
            <w:tcW w:w="7309" w:type="dxa"/>
            <w:gridSpan w:val="2"/>
            <w:shd w:val="clear" w:color="auto" w:fill="B4C6E7" w:themeFill="accent5" w:themeFillTint="66"/>
          </w:tcPr>
          <w:p w14:paraId="5997CC1D" w14:textId="77777777" w:rsidR="00FD0BBE" w:rsidRPr="008F2A32" w:rsidRDefault="00FD0BBE" w:rsidP="00E73515">
            <w:pPr>
              <w:pStyle w:val="ListParagraph"/>
              <w:spacing w:line="276" w:lineRule="auto"/>
              <w:ind w:left="0"/>
              <w:jc w:val="both"/>
              <w:rPr>
                <w:rFonts w:ascii="Cambria" w:hAnsi="Cambria"/>
                <w:b/>
                <w:bCs/>
                <w:sz w:val="18"/>
                <w:szCs w:val="18"/>
              </w:rPr>
            </w:pPr>
          </w:p>
          <w:p w14:paraId="6C2E742A" w14:textId="77777777" w:rsidR="00FD0BBE" w:rsidRDefault="00FD0BBE" w:rsidP="00E73515">
            <w:pPr>
              <w:pStyle w:val="ListParagraph"/>
              <w:spacing w:line="276" w:lineRule="auto"/>
              <w:ind w:left="0"/>
              <w:jc w:val="both"/>
              <w:rPr>
                <w:rFonts w:ascii="Cambria" w:eastAsia="Times New Roman" w:hAnsi="Cambria" w:cs="Times New Roman"/>
                <w:color w:val="000000" w:themeColor="text1"/>
                <w:sz w:val="18"/>
                <w:szCs w:val="18"/>
                <w:lang w:val="es-ES"/>
              </w:rPr>
            </w:pPr>
            <w:r w:rsidRPr="008F2A32">
              <w:rPr>
                <w:rFonts w:ascii="Cambria" w:hAnsi="Cambria"/>
                <w:b/>
                <w:bCs/>
                <w:sz w:val="18"/>
                <w:szCs w:val="18"/>
              </w:rPr>
              <w:t xml:space="preserve">Recomendación 1. </w:t>
            </w:r>
            <w:r w:rsidR="00D57B94" w:rsidRPr="008F2A32">
              <w:rPr>
                <w:rFonts w:ascii="Cambria" w:eastAsia="Times New Roman" w:hAnsi="Cambria" w:cs="Times New Roman"/>
                <w:b/>
                <w:color w:val="000000" w:themeColor="text1"/>
                <w:sz w:val="18"/>
                <w:szCs w:val="18"/>
                <w:lang w:val="es-ES"/>
              </w:rPr>
              <w:t>Reparar integralmente las violaciones de derechos humanos declaradas en el presente informe tanto en el aspecto material como moral. El Estado deberá adoptar las medidas de compensación económica y satisfacción del daño moral; así como de rehabilitación para los familiares que así lo deseen.</w:t>
            </w:r>
            <w:r w:rsidR="00D57B94" w:rsidRPr="008F2A32">
              <w:rPr>
                <w:rFonts w:ascii="Cambria" w:eastAsia="Times New Roman" w:hAnsi="Cambria" w:cs="Times New Roman"/>
                <w:color w:val="000000" w:themeColor="text1"/>
                <w:sz w:val="18"/>
                <w:szCs w:val="18"/>
                <w:lang w:val="es-ES"/>
              </w:rPr>
              <w:t xml:space="preserve">  </w:t>
            </w:r>
          </w:p>
          <w:p w14:paraId="1D1CAD45" w14:textId="519C1715" w:rsidR="00C4627E" w:rsidRPr="008F2A32" w:rsidRDefault="00C4627E" w:rsidP="00E73515">
            <w:pPr>
              <w:pStyle w:val="ListParagraph"/>
              <w:spacing w:line="276" w:lineRule="auto"/>
              <w:ind w:left="0"/>
              <w:jc w:val="both"/>
              <w:rPr>
                <w:rFonts w:ascii="Cambria" w:hAnsi="Cambria"/>
                <w:b/>
                <w:bCs/>
                <w:sz w:val="18"/>
                <w:szCs w:val="18"/>
              </w:rPr>
            </w:pPr>
          </w:p>
        </w:tc>
        <w:tc>
          <w:tcPr>
            <w:tcW w:w="2340" w:type="dxa"/>
            <w:shd w:val="clear" w:color="auto" w:fill="B4C6E7" w:themeFill="accent5" w:themeFillTint="66"/>
          </w:tcPr>
          <w:p w14:paraId="110FFD37" w14:textId="77777777" w:rsidR="00FD0BBE" w:rsidRPr="008F2A32" w:rsidRDefault="00FD0BBE" w:rsidP="00E73515">
            <w:pPr>
              <w:spacing w:line="276" w:lineRule="auto"/>
              <w:jc w:val="center"/>
              <w:rPr>
                <w:rFonts w:ascii="Cambria" w:hAnsi="Cambria"/>
                <w:b/>
                <w:bCs/>
                <w:sz w:val="18"/>
                <w:szCs w:val="18"/>
                <w:lang w:val="es-ES"/>
              </w:rPr>
            </w:pPr>
          </w:p>
          <w:p w14:paraId="56734154" w14:textId="77777777" w:rsidR="00FD0BBE" w:rsidRPr="008F2A32" w:rsidRDefault="00FD0BBE" w:rsidP="00E73515">
            <w:pPr>
              <w:spacing w:line="276" w:lineRule="auto"/>
              <w:jc w:val="center"/>
              <w:rPr>
                <w:rFonts w:ascii="Cambria" w:hAnsi="Cambria"/>
                <w:b/>
                <w:bCs/>
                <w:sz w:val="18"/>
                <w:szCs w:val="18"/>
                <w:lang w:val="es-ES"/>
              </w:rPr>
            </w:pPr>
            <w:r w:rsidRPr="008F2A32">
              <w:rPr>
                <w:rFonts w:ascii="Cambria" w:hAnsi="Cambria"/>
                <w:b/>
                <w:bCs/>
                <w:sz w:val="18"/>
                <w:szCs w:val="18"/>
                <w:lang w:val="es-ES"/>
              </w:rPr>
              <w:t>Cumplimiento</w:t>
            </w:r>
            <w:r w:rsidR="00D57B94" w:rsidRPr="008F2A32">
              <w:rPr>
                <w:rFonts w:ascii="Cambria" w:hAnsi="Cambria"/>
                <w:b/>
                <w:bCs/>
                <w:sz w:val="18"/>
                <w:szCs w:val="18"/>
                <w:lang w:val="es-ES"/>
              </w:rPr>
              <w:t xml:space="preserve"> Parcial Sustancial</w:t>
            </w:r>
          </w:p>
          <w:p w14:paraId="6B699379" w14:textId="77777777" w:rsidR="00FD0BBE" w:rsidRPr="008F2A32" w:rsidRDefault="00FD0BBE" w:rsidP="00E73515">
            <w:pPr>
              <w:pStyle w:val="ListParagraph"/>
              <w:spacing w:line="276" w:lineRule="auto"/>
              <w:ind w:left="0"/>
              <w:jc w:val="center"/>
              <w:rPr>
                <w:rFonts w:ascii="Cambria" w:hAnsi="Cambria"/>
                <w:b/>
                <w:bCs/>
                <w:sz w:val="18"/>
                <w:szCs w:val="18"/>
              </w:rPr>
            </w:pPr>
          </w:p>
        </w:tc>
      </w:tr>
      <w:tr w:rsidR="00FD0BBE" w:rsidRPr="008F2A32" w14:paraId="456635AD" w14:textId="77777777" w:rsidTr="00EF7072">
        <w:tc>
          <w:tcPr>
            <w:tcW w:w="7309" w:type="dxa"/>
            <w:gridSpan w:val="2"/>
            <w:shd w:val="clear" w:color="auto" w:fill="D9E2F3" w:themeFill="accent5" w:themeFillTint="33"/>
          </w:tcPr>
          <w:p w14:paraId="3FE9F23F" w14:textId="77777777" w:rsidR="00FD0BBE" w:rsidRPr="008F2A32" w:rsidRDefault="00FD0BBE" w:rsidP="00E73515">
            <w:pPr>
              <w:spacing w:line="276" w:lineRule="auto"/>
              <w:jc w:val="both"/>
              <w:rPr>
                <w:rFonts w:ascii="Cambria" w:hAnsi="Cambria"/>
                <w:b/>
                <w:bCs/>
                <w:sz w:val="18"/>
                <w:szCs w:val="18"/>
              </w:rPr>
            </w:pPr>
          </w:p>
          <w:p w14:paraId="56D83D5B" w14:textId="2B67D788" w:rsidR="00FD0BBE" w:rsidRPr="008F2A32" w:rsidRDefault="00D57B94" w:rsidP="00E73515">
            <w:pPr>
              <w:spacing w:line="276" w:lineRule="auto"/>
              <w:jc w:val="both"/>
              <w:rPr>
                <w:rFonts w:ascii="Cambria" w:hAnsi="Cambria"/>
                <w:sz w:val="18"/>
                <w:szCs w:val="18"/>
              </w:rPr>
            </w:pPr>
            <w:r w:rsidRPr="008F2A32">
              <w:rPr>
                <w:rFonts w:ascii="Cambria" w:hAnsi="Cambria"/>
                <w:b/>
                <w:bCs/>
                <w:sz w:val="18"/>
                <w:szCs w:val="18"/>
              </w:rPr>
              <w:t xml:space="preserve">Cláusula </w:t>
            </w:r>
            <w:r w:rsidR="00FD0BBE" w:rsidRPr="008F2A32">
              <w:rPr>
                <w:rFonts w:ascii="Cambria" w:hAnsi="Cambria"/>
                <w:b/>
                <w:bCs/>
                <w:sz w:val="18"/>
                <w:szCs w:val="18"/>
              </w:rPr>
              <w:t>A del Acuerdo de Cumplimiento</w:t>
            </w:r>
            <w:r w:rsidR="00FD0BBE" w:rsidRPr="008F2A32">
              <w:rPr>
                <w:rFonts w:ascii="Cambria" w:hAnsi="Cambria"/>
                <w:sz w:val="18"/>
                <w:szCs w:val="18"/>
              </w:rPr>
              <w:t xml:space="preserve">. </w:t>
            </w:r>
            <w:r w:rsidRPr="008F2A32">
              <w:rPr>
                <w:rFonts w:ascii="Cambria" w:hAnsi="Cambria"/>
                <w:sz w:val="18"/>
                <w:szCs w:val="18"/>
              </w:rPr>
              <w:t>Reparación económica, el Estado indemnizará a las víctimas por un monto estipulado en el acuerdo.</w:t>
            </w:r>
          </w:p>
          <w:p w14:paraId="1F72F646" w14:textId="77777777" w:rsidR="00FD0BBE" w:rsidRPr="008F2A32" w:rsidRDefault="00FD0BBE" w:rsidP="00E73515">
            <w:pPr>
              <w:spacing w:line="276" w:lineRule="auto"/>
              <w:jc w:val="both"/>
              <w:rPr>
                <w:rFonts w:ascii="Cambria" w:hAnsi="Cambria"/>
                <w:sz w:val="18"/>
                <w:szCs w:val="18"/>
              </w:rPr>
            </w:pPr>
          </w:p>
        </w:tc>
        <w:tc>
          <w:tcPr>
            <w:tcW w:w="2340" w:type="dxa"/>
            <w:shd w:val="clear" w:color="auto" w:fill="D9E2F3" w:themeFill="accent5" w:themeFillTint="33"/>
          </w:tcPr>
          <w:p w14:paraId="08CE6F91" w14:textId="77777777" w:rsidR="00FD0BBE" w:rsidRPr="008F2A32" w:rsidRDefault="00FD0BBE" w:rsidP="00E73515">
            <w:pPr>
              <w:pStyle w:val="ListParagraph"/>
              <w:spacing w:line="276" w:lineRule="auto"/>
              <w:ind w:left="0"/>
              <w:jc w:val="center"/>
              <w:rPr>
                <w:rFonts w:ascii="Cambria" w:hAnsi="Cambria"/>
                <w:sz w:val="18"/>
                <w:szCs w:val="18"/>
              </w:rPr>
            </w:pPr>
          </w:p>
          <w:p w14:paraId="5B7205F8" w14:textId="7E4EB22F" w:rsidR="00FD0BBE" w:rsidRPr="008F2A32" w:rsidRDefault="00FD0BBE" w:rsidP="00E73515">
            <w:pPr>
              <w:pStyle w:val="ListParagraph"/>
              <w:spacing w:line="276" w:lineRule="auto"/>
              <w:ind w:left="0"/>
              <w:jc w:val="center"/>
              <w:rPr>
                <w:rFonts w:ascii="Cambria" w:hAnsi="Cambria"/>
                <w:sz w:val="18"/>
                <w:szCs w:val="18"/>
              </w:rPr>
            </w:pPr>
            <w:r w:rsidRPr="008F2A32">
              <w:rPr>
                <w:rFonts w:ascii="Cambria" w:hAnsi="Cambria"/>
                <w:sz w:val="18"/>
                <w:szCs w:val="18"/>
              </w:rPr>
              <w:t>Cumplimiento</w:t>
            </w:r>
            <w:r w:rsidR="00DB179A" w:rsidRPr="008F2A32">
              <w:rPr>
                <w:rFonts w:ascii="Cambria" w:hAnsi="Cambria"/>
                <w:sz w:val="18"/>
                <w:szCs w:val="18"/>
              </w:rPr>
              <w:t xml:space="preserve"> Total</w:t>
            </w:r>
          </w:p>
          <w:p w14:paraId="61CDCEAD" w14:textId="77777777" w:rsidR="00FD0BBE" w:rsidRPr="008F2A32" w:rsidRDefault="00FD0BBE" w:rsidP="00E73515">
            <w:pPr>
              <w:pStyle w:val="ListParagraph"/>
              <w:spacing w:line="276" w:lineRule="auto"/>
              <w:ind w:left="0"/>
              <w:jc w:val="center"/>
              <w:rPr>
                <w:rFonts w:ascii="Cambria" w:hAnsi="Cambria"/>
                <w:sz w:val="18"/>
                <w:szCs w:val="18"/>
              </w:rPr>
            </w:pPr>
          </w:p>
        </w:tc>
      </w:tr>
      <w:tr w:rsidR="00FD0BBE" w:rsidRPr="008F2A32" w14:paraId="4EFCC67E" w14:textId="77777777" w:rsidTr="00EF7072">
        <w:tc>
          <w:tcPr>
            <w:tcW w:w="7309" w:type="dxa"/>
            <w:gridSpan w:val="2"/>
            <w:shd w:val="clear" w:color="auto" w:fill="D9E2F3" w:themeFill="accent5" w:themeFillTint="33"/>
          </w:tcPr>
          <w:p w14:paraId="44A3F5BE" w14:textId="77777777" w:rsidR="00FD0BBE" w:rsidRPr="008F2A32" w:rsidRDefault="00063291" w:rsidP="00E73515">
            <w:pPr>
              <w:pStyle w:val="ListParagraph"/>
              <w:spacing w:line="276" w:lineRule="auto"/>
              <w:ind w:left="0"/>
              <w:jc w:val="both"/>
              <w:rPr>
                <w:rFonts w:ascii="Cambria" w:hAnsi="Cambria"/>
                <w:sz w:val="18"/>
                <w:szCs w:val="18"/>
              </w:rPr>
            </w:pPr>
            <w:r w:rsidRPr="008F2A32">
              <w:rPr>
                <w:rFonts w:ascii="Cambria" w:hAnsi="Cambria"/>
                <w:b/>
                <w:bCs/>
                <w:sz w:val="18"/>
                <w:szCs w:val="18"/>
              </w:rPr>
              <w:lastRenderedPageBreak/>
              <w:t>Cláusula B</w:t>
            </w:r>
            <w:r w:rsidR="00FD0BBE" w:rsidRPr="008F2A32">
              <w:rPr>
                <w:rFonts w:ascii="Cambria" w:hAnsi="Cambria"/>
                <w:b/>
                <w:bCs/>
                <w:sz w:val="18"/>
                <w:szCs w:val="18"/>
              </w:rPr>
              <w:t xml:space="preserve"> del Acuerdo de Cumplimiento. </w:t>
            </w:r>
            <w:r w:rsidRPr="008F2A32">
              <w:rPr>
                <w:rFonts w:ascii="Cambria" w:hAnsi="Cambria"/>
                <w:sz w:val="18"/>
                <w:szCs w:val="18"/>
              </w:rPr>
              <w:t xml:space="preserve">Medidas que permitan a la familia acceder a una extensión de tierra. </w:t>
            </w:r>
          </w:p>
          <w:p w14:paraId="6BB9E253" w14:textId="77777777" w:rsidR="00063291" w:rsidRPr="008F2A32" w:rsidRDefault="00063291" w:rsidP="00E73515">
            <w:pPr>
              <w:pStyle w:val="ListParagraph"/>
              <w:spacing w:line="276" w:lineRule="auto"/>
              <w:ind w:left="0"/>
              <w:jc w:val="both"/>
              <w:rPr>
                <w:rFonts w:ascii="Cambria" w:hAnsi="Cambria"/>
                <w:sz w:val="18"/>
                <w:szCs w:val="18"/>
              </w:rPr>
            </w:pPr>
          </w:p>
        </w:tc>
        <w:tc>
          <w:tcPr>
            <w:tcW w:w="2340" w:type="dxa"/>
            <w:shd w:val="clear" w:color="auto" w:fill="D9E2F3" w:themeFill="accent5" w:themeFillTint="33"/>
          </w:tcPr>
          <w:p w14:paraId="798B507E" w14:textId="77777777" w:rsidR="00FD0BBE" w:rsidRPr="008F2A32" w:rsidRDefault="00063291" w:rsidP="00E73515">
            <w:pPr>
              <w:pStyle w:val="ListParagraph"/>
              <w:spacing w:line="276" w:lineRule="auto"/>
              <w:ind w:left="0"/>
              <w:jc w:val="center"/>
              <w:rPr>
                <w:rFonts w:ascii="Cambria" w:hAnsi="Cambria"/>
                <w:sz w:val="18"/>
                <w:szCs w:val="18"/>
              </w:rPr>
            </w:pPr>
            <w:r w:rsidRPr="008F2A32">
              <w:rPr>
                <w:rFonts w:ascii="Cambria" w:hAnsi="Cambria"/>
                <w:sz w:val="18"/>
                <w:szCs w:val="18"/>
              </w:rPr>
              <w:t>Cumplimiento Parcial Sustancial</w:t>
            </w:r>
          </w:p>
        </w:tc>
      </w:tr>
      <w:tr w:rsidR="00063291" w:rsidRPr="008F2A32" w14:paraId="4C945245" w14:textId="77777777" w:rsidTr="00EF7072">
        <w:tc>
          <w:tcPr>
            <w:tcW w:w="7309" w:type="dxa"/>
            <w:gridSpan w:val="2"/>
            <w:shd w:val="clear" w:color="auto" w:fill="D9E2F3" w:themeFill="accent5" w:themeFillTint="33"/>
          </w:tcPr>
          <w:p w14:paraId="75A1AA4F" w14:textId="77777777" w:rsidR="00063291" w:rsidRDefault="00063291" w:rsidP="00E73515">
            <w:pPr>
              <w:pStyle w:val="ListParagraph"/>
              <w:spacing w:line="276" w:lineRule="auto"/>
              <w:ind w:left="0"/>
              <w:jc w:val="both"/>
              <w:rPr>
                <w:rFonts w:ascii="Cambria" w:hAnsi="Cambria"/>
                <w:color w:val="000000" w:themeColor="text1"/>
                <w:sz w:val="18"/>
                <w:szCs w:val="18"/>
                <w:lang w:val="es-ES"/>
              </w:rPr>
            </w:pPr>
            <w:r w:rsidRPr="008F2A32">
              <w:rPr>
                <w:rFonts w:ascii="Cambria" w:hAnsi="Cambria"/>
                <w:b/>
                <w:bCs/>
                <w:sz w:val="18"/>
                <w:szCs w:val="18"/>
              </w:rPr>
              <w:t xml:space="preserve">Cláusula D del Acuerdo de Cumplimiento. </w:t>
            </w:r>
            <w:r w:rsidRPr="008F2A32">
              <w:rPr>
                <w:rFonts w:ascii="Cambria" w:hAnsi="Cambria"/>
                <w:color w:val="000000" w:themeColor="text1"/>
                <w:sz w:val="18"/>
                <w:szCs w:val="18"/>
                <w:lang w:val="es-ES"/>
              </w:rPr>
              <w:t>Becas de estudios para Rodrigo Lemun para educación media y superior</w:t>
            </w:r>
          </w:p>
          <w:p w14:paraId="541BBA81" w14:textId="0895CB37" w:rsidR="00EC3359" w:rsidRPr="008F2A32" w:rsidRDefault="00EC3359" w:rsidP="00E73515">
            <w:pPr>
              <w:pStyle w:val="ListParagraph"/>
              <w:spacing w:line="276" w:lineRule="auto"/>
              <w:ind w:left="0"/>
              <w:jc w:val="both"/>
              <w:rPr>
                <w:rFonts w:ascii="Cambria" w:hAnsi="Cambria"/>
                <w:bCs/>
                <w:sz w:val="18"/>
                <w:szCs w:val="18"/>
              </w:rPr>
            </w:pPr>
          </w:p>
        </w:tc>
        <w:tc>
          <w:tcPr>
            <w:tcW w:w="2340" w:type="dxa"/>
            <w:shd w:val="clear" w:color="auto" w:fill="D9E2F3" w:themeFill="accent5" w:themeFillTint="33"/>
          </w:tcPr>
          <w:p w14:paraId="2ECC7816" w14:textId="77777777" w:rsidR="00063291" w:rsidRPr="008F2A32" w:rsidRDefault="00196A7F" w:rsidP="00E73515">
            <w:pPr>
              <w:pStyle w:val="ListParagraph"/>
              <w:spacing w:line="276" w:lineRule="auto"/>
              <w:ind w:left="0"/>
              <w:jc w:val="center"/>
              <w:rPr>
                <w:rFonts w:ascii="Cambria" w:hAnsi="Cambria"/>
                <w:sz w:val="18"/>
                <w:szCs w:val="18"/>
              </w:rPr>
            </w:pPr>
            <w:r w:rsidRPr="008F2A32">
              <w:rPr>
                <w:rFonts w:ascii="Cambria" w:hAnsi="Cambria"/>
                <w:sz w:val="18"/>
                <w:szCs w:val="18"/>
              </w:rPr>
              <w:t>Cumplimiento Parcial</w:t>
            </w:r>
          </w:p>
        </w:tc>
      </w:tr>
      <w:tr w:rsidR="00FD0BBE" w:rsidRPr="008F2A32" w14:paraId="58F38387" w14:textId="77777777" w:rsidTr="00EF7072">
        <w:tc>
          <w:tcPr>
            <w:tcW w:w="5059" w:type="dxa"/>
            <w:shd w:val="clear" w:color="auto" w:fill="F2F2F2" w:themeFill="background1" w:themeFillShade="F2"/>
          </w:tcPr>
          <w:p w14:paraId="23DE523C" w14:textId="77777777" w:rsidR="00FD0BBE" w:rsidRPr="008F2A32" w:rsidRDefault="00FD0BBE" w:rsidP="00E73515">
            <w:pPr>
              <w:spacing w:line="276" w:lineRule="auto"/>
              <w:jc w:val="both"/>
              <w:rPr>
                <w:rFonts w:ascii="Cambria" w:hAnsi="Cambria"/>
                <w:b/>
                <w:bCs/>
                <w:sz w:val="18"/>
                <w:szCs w:val="18"/>
              </w:rPr>
            </w:pPr>
          </w:p>
          <w:p w14:paraId="0C19546B" w14:textId="522E6542" w:rsidR="00DB179A" w:rsidRDefault="00FD0BBE" w:rsidP="00E73515">
            <w:pPr>
              <w:spacing w:line="276" w:lineRule="auto"/>
              <w:jc w:val="both"/>
              <w:rPr>
                <w:rFonts w:ascii="Cambria" w:hAnsi="Cambria"/>
                <w:sz w:val="18"/>
                <w:szCs w:val="18"/>
                <w:lang w:val="es-ES"/>
              </w:rPr>
            </w:pPr>
            <w:r w:rsidRPr="008F2A32">
              <w:rPr>
                <w:rFonts w:ascii="Cambria" w:hAnsi="Cambria"/>
                <w:b/>
                <w:bCs/>
                <w:sz w:val="18"/>
                <w:szCs w:val="18"/>
              </w:rPr>
              <w:t>Información del Estado en 2023:</w:t>
            </w:r>
            <w:r w:rsidRPr="008F2A32">
              <w:rPr>
                <w:rFonts w:ascii="Cambria" w:hAnsi="Cambria"/>
                <w:sz w:val="18"/>
                <w:szCs w:val="18"/>
                <w:lang w:val="es-ES"/>
              </w:rPr>
              <w:t xml:space="preserve"> </w:t>
            </w:r>
            <w:r w:rsidR="006F42E2" w:rsidRPr="008F2A32">
              <w:rPr>
                <w:rFonts w:ascii="Cambria" w:hAnsi="Cambria"/>
                <w:sz w:val="18"/>
                <w:szCs w:val="18"/>
                <w:lang w:val="es-ES"/>
              </w:rPr>
              <w:t>El Estado reiteró la información proporcionada en años anteriores</w:t>
            </w:r>
            <w:r w:rsidR="00EE0B35" w:rsidRPr="008F2A32">
              <w:rPr>
                <w:rFonts w:ascii="Cambria" w:hAnsi="Cambria"/>
                <w:sz w:val="18"/>
                <w:szCs w:val="18"/>
                <w:lang w:val="es-ES"/>
              </w:rPr>
              <w:t xml:space="preserve">, incluyendo </w:t>
            </w:r>
            <w:r w:rsidR="00DB179A" w:rsidRPr="008F2A32">
              <w:rPr>
                <w:rFonts w:ascii="Cambria" w:hAnsi="Cambria"/>
                <w:sz w:val="18"/>
                <w:szCs w:val="18"/>
                <w:lang w:val="es-ES"/>
              </w:rPr>
              <w:t xml:space="preserve">el pago </w:t>
            </w:r>
            <w:r w:rsidR="00EE0B35" w:rsidRPr="008F2A32">
              <w:rPr>
                <w:rFonts w:ascii="Cambria" w:hAnsi="Cambria"/>
                <w:sz w:val="18"/>
                <w:szCs w:val="18"/>
                <w:lang w:val="es-ES"/>
              </w:rPr>
              <w:t>realizado</w:t>
            </w:r>
            <w:r w:rsidR="00613919" w:rsidRPr="008F2A32">
              <w:rPr>
                <w:rFonts w:ascii="Cambria" w:hAnsi="Cambria"/>
                <w:sz w:val="18"/>
                <w:szCs w:val="18"/>
                <w:lang w:val="es-ES"/>
              </w:rPr>
              <w:t xml:space="preserve"> el 9 de abril de 2018,</w:t>
            </w:r>
            <w:r w:rsidR="00EE0B35" w:rsidRPr="008F2A32">
              <w:rPr>
                <w:rFonts w:ascii="Cambria" w:hAnsi="Cambria"/>
                <w:sz w:val="18"/>
                <w:szCs w:val="18"/>
                <w:lang w:val="es-ES"/>
              </w:rPr>
              <w:t xml:space="preserve"> </w:t>
            </w:r>
            <w:r w:rsidR="00DB179A" w:rsidRPr="008F2A32">
              <w:rPr>
                <w:rFonts w:ascii="Cambria" w:hAnsi="Cambria"/>
                <w:sz w:val="18"/>
                <w:szCs w:val="18"/>
                <w:lang w:val="es-ES"/>
              </w:rPr>
              <w:t>por concepto de indemnización a las víctimas del presente caso</w:t>
            </w:r>
            <w:r w:rsidR="00EE0B35" w:rsidRPr="008F2A32">
              <w:rPr>
                <w:rFonts w:ascii="Cambria" w:hAnsi="Cambria"/>
                <w:sz w:val="18"/>
                <w:szCs w:val="18"/>
                <w:lang w:val="es-ES"/>
              </w:rPr>
              <w:t xml:space="preserve">, sobre lo cual </w:t>
            </w:r>
            <w:r w:rsidR="00DB179A" w:rsidRPr="008F2A32">
              <w:rPr>
                <w:rFonts w:ascii="Cambria" w:hAnsi="Cambria"/>
                <w:sz w:val="18"/>
                <w:szCs w:val="18"/>
                <w:lang w:val="es-ES"/>
              </w:rPr>
              <w:t xml:space="preserve">adjuntó Oficio del Departamento de Derechos Humanos de Carabineros de Chile. </w:t>
            </w:r>
          </w:p>
          <w:p w14:paraId="2ECB8EB4" w14:textId="77777777" w:rsidR="00EC3359" w:rsidRPr="008F2A32" w:rsidRDefault="00EC3359" w:rsidP="00E73515">
            <w:pPr>
              <w:spacing w:line="276" w:lineRule="auto"/>
              <w:jc w:val="both"/>
              <w:rPr>
                <w:rFonts w:ascii="Cambria" w:hAnsi="Cambria"/>
                <w:sz w:val="18"/>
                <w:szCs w:val="18"/>
                <w:lang w:val="es-ES"/>
              </w:rPr>
            </w:pPr>
          </w:p>
          <w:p w14:paraId="39A70397" w14:textId="1DF50374" w:rsidR="00EF6AEC" w:rsidRPr="008F2A32" w:rsidRDefault="00D67F1B" w:rsidP="00E73515">
            <w:pPr>
              <w:spacing w:line="276" w:lineRule="auto"/>
              <w:jc w:val="both"/>
              <w:rPr>
                <w:rFonts w:ascii="Cambria" w:hAnsi="Cambria"/>
                <w:sz w:val="18"/>
                <w:szCs w:val="18"/>
                <w:lang w:val="es-ES"/>
              </w:rPr>
            </w:pPr>
            <w:r w:rsidRPr="008F2A32">
              <w:rPr>
                <w:rFonts w:ascii="Cambria" w:hAnsi="Cambria"/>
                <w:sz w:val="18"/>
                <w:szCs w:val="18"/>
                <w:lang w:val="es-ES"/>
              </w:rPr>
              <w:t>En cuanto a la cláusula B del Acuerdo de Cumplimiento</w:t>
            </w:r>
            <w:r w:rsidR="00DA351F" w:rsidRPr="008F2A32">
              <w:rPr>
                <w:rFonts w:ascii="Cambria" w:hAnsi="Cambria"/>
                <w:sz w:val="18"/>
                <w:szCs w:val="18"/>
                <w:lang w:val="es-ES"/>
              </w:rPr>
              <w:t xml:space="preserve">, el Estado reportó </w:t>
            </w:r>
            <w:r w:rsidR="00DB179A" w:rsidRPr="008F2A32">
              <w:rPr>
                <w:rFonts w:ascii="Cambria" w:hAnsi="Cambria"/>
                <w:sz w:val="18"/>
                <w:szCs w:val="18"/>
                <w:lang w:val="es-ES"/>
              </w:rPr>
              <w:t xml:space="preserve">que, </w:t>
            </w:r>
            <w:r w:rsidR="00922BC7" w:rsidRPr="008F2A32">
              <w:rPr>
                <w:rFonts w:ascii="Cambria" w:hAnsi="Cambria"/>
                <w:sz w:val="18"/>
                <w:szCs w:val="18"/>
                <w:lang w:val="es-ES"/>
              </w:rPr>
              <w:t xml:space="preserve">en junio de 2023, CONADI informó </w:t>
            </w:r>
            <w:r w:rsidR="008F2A32" w:rsidRPr="008F2A32">
              <w:rPr>
                <w:rFonts w:ascii="Cambria" w:hAnsi="Cambria"/>
                <w:sz w:val="18"/>
                <w:szCs w:val="18"/>
                <w:lang w:val="es-ES"/>
              </w:rPr>
              <w:t>que han</w:t>
            </w:r>
            <w:r w:rsidR="00922BC7" w:rsidRPr="008F2A32">
              <w:rPr>
                <w:rFonts w:ascii="Cambria" w:hAnsi="Cambria"/>
                <w:sz w:val="18"/>
                <w:szCs w:val="18"/>
                <w:lang w:val="es-ES"/>
              </w:rPr>
              <w:t xml:space="preserve"> presentado solicitudes de restitución</w:t>
            </w:r>
            <w:r w:rsidR="008F2A32">
              <w:rPr>
                <w:rFonts w:ascii="Cambria" w:hAnsi="Cambria"/>
                <w:sz w:val="18"/>
                <w:szCs w:val="18"/>
                <w:lang w:val="es-ES"/>
              </w:rPr>
              <w:t xml:space="preserve"> a favor de las víctimas</w:t>
            </w:r>
            <w:r w:rsidR="00922BC7" w:rsidRPr="008F2A32">
              <w:rPr>
                <w:rFonts w:ascii="Cambria" w:hAnsi="Cambria"/>
                <w:sz w:val="18"/>
                <w:szCs w:val="18"/>
                <w:lang w:val="es-ES"/>
              </w:rPr>
              <w:t xml:space="preserve"> respecto de 31 predios, de los cuales 20 cuentan con estudios de título favorables. </w:t>
            </w:r>
          </w:p>
          <w:p w14:paraId="37BA3502" w14:textId="77777777" w:rsidR="00EF6AEC" w:rsidRPr="008F2A32" w:rsidRDefault="00EF6AEC" w:rsidP="00E73515">
            <w:pPr>
              <w:spacing w:line="276" w:lineRule="auto"/>
              <w:jc w:val="both"/>
              <w:rPr>
                <w:rFonts w:ascii="Cambria" w:hAnsi="Cambria"/>
                <w:sz w:val="18"/>
                <w:szCs w:val="18"/>
                <w:lang w:val="es-ES"/>
              </w:rPr>
            </w:pPr>
          </w:p>
          <w:p w14:paraId="15D1E949" w14:textId="348356E2" w:rsidR="00FD0BBE" w:rsidRPr="008F2A32" w:rsidRDefault="009F31C3" w:rsidP="00E73515">
            <w:pPr>
              <w:spacing w:line="276" w:lineRule="auto"/>
              <w:jc w:val="both"/>
              <w:rPr>
                <w:rFonts w:ascii="Cambria" w:hAnsi="Cambria"/>
                <w:sz w:val="18"/>
                <w:szCs w:val="18"/>
                <w:lang w:val="es-ES"/>
              </w:rPr>
            </w:pPr>
            <w:r w:rsidRPr="008F2A32">
              <w:rPr>
                <w:rFonts w:ascii="Cambria" w:hAnsi="Cambria"/>
                <w:sz w:val="18"/>
                <w:szCs w:val="18"/>
                <w:lang w:val="es-ES"/>
              </w:rPr>
              <w:t>En cuanto a la cláusula D</w:t>
            </w:r>
            <w:r w:rsidR="00EF6AEC" w:rsidRPr="008F2A32">
              <w:rPr>
                <w:rFonts w:ascii="Cambria" w:hAnsi="Cambria"/>
                <w:sz w:val="18"/>
                <w:szCs w:val="18"/>
                <w:lang w:val="es-ES"/>
              </w:rPr>
              <w:t xml:space="preserve"> del Acuerdo de Cumplimiento, el Estado </w:t>
            </w:r>
            <w:r w:rsidR="001E435A" w:rsidRPr="008F2A32">
              <w:rPr>
                <w:rFonts w:ascii="Cambria" w:hAnsi="Cambria"/>
                <w:sz w:val="18"/>
                <w:szCs w:val="18"/>
                <w:lang w:val="es-ES"/>
              </w:rPr>
              <w:t>reiteró</w:t>
            </w:r>
            <w:r w:rsidR="00EF6AEC" w:rsidRPr="008F2A32">
              <w:rPr>
                <w:rFonts w:ascii="Cambria" w:hAnsi="Cambria"/>
                <w:sz w:val="18"/>
                <w:szCs w:val="18"/>
                <w:lang w:val="es-ES"/>
              </w:rPr>
              <w:t xml:space="preserve"> que</w:t>
            </w:r>
            <w:r w:rsidRPr="008F2A32">
              <w:rPr>
                <w:rFonts w:ascii="Cambria" w:hAnsi="Cambria"/>
                <w:sz w:val="18"/>
                <w:szCs w:val="18"/>
                <w:lang w:val="es-ES"/>
              </w:rPr>
              <w:t xml:space="preserve"> el Sr. Lemún comunicó su intención de no estudiar debido a dificultades económicas no asociadas al financiamiento de sus estudios. </w:t>
            </w:r>
            <w:r w:rsidR="001A0696" w:rsidRPr="008F2A32">
              <w:rPr>
                <w:rFonts w:ascii="Cambria" w:hAnsi="Cambria"/>
                <w:sz w:val="18"/>
                <w:szCs w:val="18"/>
                <w:lang w:val="es-ES"/>
              </w:rPr>
              <w:t>Señaló que, e</w:t>
            </w:r>
            <w:r w:rsidR="00922BC7" w:rsidRPr="008F2A32">
              <w:rPr>
                <w:rFonts w:ascii="Cambria" w:hAnsi="Cambria"/>
                <w:sz w:val="18"/>
                <w:szCs w:val="18"/>
                <w:lang w:val="es-ES"/>
              </w:rPr>
              <w:t>n junio de 2023</w:t>
            </w:r>
            <w:r w:rsidR="006E20F4">
              <w:rPr>
                <w:rFonts w:ascii="Cambria" w:hAnsi="Cambria"/>
                <w:sz w:val="18"/>
                <w:szCs w:val="18"/>
                <w:lang w:val="es-ES"/>
              </w:rPr>
              <w:t xml:space="preserve">, </w:t>
            </w:r>
            <w:r w:rsidR="001A0696" w:rsidRPr="008F2A32">
              <w:rPr>
                <w:rFonts w:ascii="Cambria" w:hAnsi="Cambria"/>
                <w:sz w:val="18"/>
                <w:szCs w:val="18"/>
                <w:lang w:val="es-ES"/>
              </w:rPr>
              <w:t>se gestionó</w:t>
            </w:r>
            <w:r w:rsidR="00922BC7" w:rsidRPr="008F2A32">
              <w:rPr>
                <w:rFonts w:ascii="Cambria" w:hAnsi="Cambria"/>
                <w:sz w:val="18"/>
                <w:szCs w:val="18"/>
                <w:lang w:val="es-ES"/>
              </w:rPr>
              <w:t xml:space="preserve"> el trámite de suspensión ante el Instituto AIEP. </w:t>
            </w:r>
          </w:p>
          <w:p w14:paraId="52E56223" w14:textId="77777777" w:rsidR="00FD0BBE" w:rsidRPr="008F2A32" w:rsidRDefault="00FD0BBE" w:rsidP="00E73515">
            <w:pPr>
              <w:spacing w:line="276" w:lineRule="auto"/>
              <w:jc w:val="both"/>
              <w:rPr>
                <w:rFonts w:ascii="Cambria" w:hAnsi="Cambria"/>
                <w:sz w:val="18"/>
                <w:szCs w:val="18"/>
              </w:rPr>
            </w:pPr>
          </w:p>
          <w:p w14:paraId="7D4205B3" w14:textId="000C3E20" w:rsidR="00E23747" w:rsidRPr="008F2A32" w:rsidRDefault="00FD0BBE" w:rsidP="00EF1BF8">
            <w:pPr>
              <w:spacing w:line="276" w:lineRule="auto"/>
              <w:jc w:val="both"/>
              <w:rPr>
                <w:rFonts w:ascii="Cambria" w:hAnsi="Cambria"/>
                <w:sz w:val="18"/>
                <w:szCs w:val="18"/>
                <w:lang w:val="es-ES"/>
              </w:rPr>
            </w:pPr>
            <w:r w:rsidRPr="008F2A32">
              <w:rPr>
                <w:rFonts w:ascii="Cambria" w:hAnsi="Cambria"/>
                <w:b/>
                <w:bCs/>
                <w:sz w:val="18"/>
                <w:szCs w:val="18"/>
                <w:lang w:val="es-ES"/>
              </w:rPr>
              <w:t>Información de la parte peticionaria en 2023:</w:t>
            </w:r>
            <w:r w:rsidRPr="008F2A32">
              <w:rPr>
                <w:rFonts w:ascii="Cambria" w:hAnsi="Cambria"/>
                <w:sz w:val="18"/>
                <w:szCs w:val="18"/>
                <w:lang w:val="es-ES"/>
              </w:rPr>
              <w:t xml:space="preserve"> </w:t>
            </w:r>
            <w:r w:rsidR="00EF1BF8" w:rsidRPr="008F2A32">
              <w:rPr>
                <w:rFonts w:ascii="Cambria" w:hAnsi="Cambria"/>
                <w:sz w:val="18"/>
                <w:szCs w:val="18"/>
                <w:lang w:val="es-ES"/>
              </w:rPr>
              <w:t>S</w:t>
            </w:r>
            <w:r w:rsidR="00E23747" w:rsidRPr="008F2A32">
              <w:rPr>
                <w:rFonts w:ascii="Cambria" w:hAnsi="Cambria"/>
                <w:sz w:val="18"/>
                <w:szCs w:val="18"/>
                <w:lang w:val="es-ES"/>
              </w:rPr>
              <w:t>obre la cláusula D</w:t>
            </w:r>
            <w:r w:rsidR="00EF1BF8" w:rsidRPr="008F2A32">
              <w:rPr>
                <w:rFonts w:ascii="Cambria" w:hAnsi="Cambria"/>
                <w:sz w:val="18"/>
                <w:szCs w:val="18"/>
                <w:lang w:val="es-ES"/>
              </w:rPr>
              <w:t xml:space="preserve"> del Acuerdo de Cumplimiento, informó</w:t>
            </w:r>
            <w:r w:rsidR="00E23747" w:rsidRPr="008F2A32">
              <w:rPr>
                <w:rFonts w:ascii="Cambria" w:hAnsi="Cambria"/>
                <w:sz w:val="18"/>
                <w:szCs w:val="18"/>
                <w:lang w:val="es-ES"/>
              </w:rPr>
              <w:t xml:space="preserve"> que </w:t>
            </w:r>
            <w:r w:rsidR="00A165F9" w:rsidRPr="008F2A32">
              <w:rPr>
                <w:rFonts w:ascii="Cambria" w:hAnsi="Cambria"/>
                <w:sz w:val="18"/>
                <w:szCs w:val="18"/>
                <w:lang w:val="es-ES"/>
              </w:rPr>
              <w:t>suspendió sus estudios por</w:t>
            </w:r>
            <w:r w:rsidR="001D52BD" w:rsidRPr="008F2A32">
              <w:rPr>
                <w:rFonts w:ascii="Cambria" w:hAnsi="Cambria"/>
                <w:sz w:val="18"/>
                <w:szCs w:val="18"/>
                <w:lang w:val="es-ES"/>
              </w:rPr>
              <w:t xml:space="preserve">que </w:t>
            </w:r>
            <w:r w:rsidR="00E23747" w:rsidRPr="008F2A32">
              <w:rPr>
                <w:rFonts w:ascii="Cambria" w:hAnsi="Cambria"/>
                <w:sz w:val="18"/>
                <w:szCs w:val="18"/>
                <w:lang w:val="es-ES"/>
              </w:rPr>
              <w:t>el monto asignado por el Estado no le permitió cubrir los gastos de alojamiento mientras estudiaba en Santiago</w:t>
            </w:r>
            <w:r w:rsidR="006E20F4">
              <w:rPr>
                <w:rFonts w:ascii="Cambria" w:hAnsi="Cambria"/>
                <w:sz w:val="18"/>
                <w:szCs w:val="18"/>
                <w:lang w:val="es-ES"/>
              </w:rPr>
              <w:t xml:space="preserve"> de Chile</w:t>
            </w:r>
            <w:r w:rsidR="00E23747" w:rsidRPr="008F2A32">
              <w:rPr>
                <w:rFonts w:ascii="Cambria" w:hAnsi="Cambria"/>
                <w:sz w:val="18"/>
                <w:szCs w:val="18"/>
                <w:lang w:val="es-ES"/>
              </w:rPr>
              <w:t>.</w:t>
            </w:r>
          </w:p>
        </w:tc>
        <w:tc>
          <w:tcPr>
            <w:tcW w:w="4590" w:type="dxa"/>
            <w:gridSpan w:val="2"/>
            <w:shd w:val="clear" w:color="auto" w:fill="F2F2F2" w:themeFill="background1" w:themeFillShade="F2"/>
          </w:tcPr>
          <w:p w14:paraId="07547A01" w14:textId="77777777" w:rsidR="00FD0BBE" w:rsidRPr="008F2A32" w:rsidRDefault="00FD0BBE" w:rsidP="00E73515">
            <w:pPr>
              <w:pStyle w:val="ListParagraph"/>
              <w:spacing w:line="276" w:lineRule="auto"/>
              <w:ind w:left="0"/>
              <w:jc w:val="both"/>
              <w:rPr>
                <w:rFonts w:ascii="Cambria" w:hAnsi="Cambria"/>
                <w:b/>
                <w:sz w:val="18"/>
                <w:szCs w:val="18"/>
                <w:lang w:val="es-ES_tradnl"/>
              </w:rPr>
            </w:pPr>
          </w:p>
          <w:p w14:paraId="34732BF5" w14:textId="7CF1409C" w:rsidR="00B92517" w:rsidRPr="008F2A32" w:rsidRDefault="00FD0BBE" w:rsidP="00F66440">
            <w:pPr>
              <w:pStyle w:val="ListParagraph"/>
              <w:spacing w:line="276" w:lineRule="auto"/>
              <w:ind w:left="0"/>
              <w:jc w:val="both"/>
              <w:rPr>
                <w:rFonts w:ascii="Cambria" w:hAnsi="Cambria"/>
                <w:sz w:val="18"/>
                <w:szCs w:val="18"/>
                <w:lang w:val="es-ES_tradnl"/>
              </w:rPr>
            </w:pPr>
            <w:r w:rsidRPr="008F2A32">
              <w:rPr>
                <w:rFonts w:ascii="Cambria" w:hAnsi="Cambria"/>
                <w:b/>
                <w:sz w:val="18"/>
                <w:szCs w:val="18"/>
                <w:lang w:val="es-ES_tradnl"/>
              </w:rPr>
              <w:t>Análisis de cumplimiento:</w:t>
            </w:r>
            <w:r w:rsidRPr="008F2A32">
              <w:rPr>
                <w:rFonts w:ascii="Cambria" w:hAnsi="Cambria"/>
                <w:sz w:val="18"/>
                <w:szCs w:val="18"/>
                <w:lang w:val="es-ES_tradnl"/>
              </w:rPr>
              <w:t xml:space="preserve"> </w:t>
            </w:r>
            <w:r w:rsidR="00F66440" w:rsidRPr="008F2A32">
              <w:rPr>
                <w:rFonts w:ascii="Cambria" w:hAnsi="Cambria"/>
                <w:sz w:val="18"/>
                <w:szCs w:val="18"/>
                <w:lang w:val="es-ES_tradnl"/>
              </w:rPr>
              <w:t>La Comisión toma nota de lo informado por ambas parte</w:t>
            </w:r>
            <w:r w:rsidR="00ED552C" w:rsidRPr="008F2A32">
              <w:rPr>
                <w:rFonts w:ascii="Cambria" w:hAnsi="Cambria"/>
                <w:sz w:val="18"/>
                <w:szCs w:val="18"/>
                <w:lang w:val="es-ES_tradnl"/>
              </w:rPr>
              <w:t>s</w:t>
            </w:r>
            <w:r w:rsidR="00FE7A39">
              <w:rPr>
                <w:rFonts w:ascii="Cambria" w:hAnsi="Cambria"/>
                <w:sz w:val="18"/>
                <w:szCs w:val="18"/>
                <w:lang w:val="es-ES_tradnl"/>
              </w:rPr>
              <w:t xml:space="preserve"> en cuanto al otorgamiento de la indemnización pecuniaria</w:t>
            </w:r>
            <w:r w:rsidR="00ED552C" w:rsidRPr="008F2A32">
              <w:rPr>
                <w:rFonts w:ascii="Cambria" w:hAnsi="Cambria"/>
                <w:sz w:val="18"/>
                <w:szCs w:val="18"/>
                <w:lang w:val="es-ES_tradnl"/>
              </w:rPr>
              <w:t xml:space="preserve">. Al respecto, </w:t>
            </w:r>
            <w:r w:rsidR="00B92517" w:rsidRPr="008F2A32">
              <w:rPr>
                <w:rFonts w:ascii="Cambria" w:hAnsi="Cambria"/>
                <w:sz w:val="18"/>
                <w:szCs w:val="18"/>
                <w:lang w:val="es-ES_tradnl"/>
              </w:rPr>
              <w:t xml:space="preserve">considera que </w:t>
            </w:r>
            <w:r w:rsidR="00DB179A" w:rsidRPr="008F2A32">
              <w:rPr>
                <w:rFonts w:ascii="Cambria" w:hAnsi="Cambria"/>
                <w:sz w:val="18"/>
                <w:szCs w:val="18"/>
                <w:lang w:val="es-ES_tradnl"/>
              </w:rPr>
              <w:t>cláusula A</w:t>
            </w:r>
            <w:r w:rsidR="00ED552C" w:rsidRPr="008F2A32">
              <w:rPr>
                <w:rFonts w:ascii="Cambria" w:hAnsi="Cambria"/>
                <w:sz w:val="18"/>
                <w:szCs w:val="18"/>
                <w:lang w:val="es-ES_tradnl"/>
              </w:rPr>
              <w:t xml:space="preserve"> del Acuerdo de Cumplimiento</w:t>
            </w:r>
            <w:r w:rsidR="00B92517" w:rsidRPr="008F2A32">
              <w:rPr>
                <w:rFonts w:ascii="Cambria" w:hAnsi="Cambria"/>
                <w:sz w:val="18"/>
                <w:szCs w:val="18"/>
                <w:lang w:val="es-ES_tradnl"/>
              </w:rPr>
              <w:t xml:space="preserve"> ha avanzado a </w:t>
            </w:r>
            <w:r w:rsidR="00B92517" w:rsidRPr="008F2A32">
              <w:rPr>
                <w:rFonts w:ascii="Cambria" w:hAnsi="Cambria"/>
                <w:b/>
                <w:bCs/>
                <w:sz w:val="18"/>
                <w:szCs w:val="18"/>
                <w:lang w:val="es-ES_tradnl"/>
              </w:rPr>
              <w:t>cumplimiento total</w:t>
            </w:r>
            <w:r w:rsidR="00ED552C" w:rsidRPr="008F2A32">
              <w:rPr>
                <w:rFonts w:ascii="Cambria" w:hAnsi="Cambria"/>
                <w:sz w:val="18"/>
                <w:szCs w:val="18"/>
                <w:lang w:val="es-ES_tradnl"/>
              </w:rPr>
              <w:t xml:space="preserve">. </w:t>
            </w:r>
          </w:p>
          <w:p w14:paraId="6407614A" w14:textId="77777777" w:rsidR="00B92517" w:rsidRPr="008F2A32" w:rsidRDefault="00B92517" w:rsidP="00F66440">
            <w:pPr>
              <w:pStyle w:val="ListParagraph"/>
              <w:spacing w:line="276" w:lineRule="auto"/>
              <w:ind w:left="0"/>
              <w:jc w:val="both"/>
              <w:rPr>
                <w:rFonts w:ascii="Cambria" w:hAnsi="Cambria"/>
                <w:sz w:val="18"/>
                <w:szCs w:val="18"/>
                <w:lang w:val="es-ES_tradnl"/>
              </w:rPr>
            </w:pPr>
          </w:p>
          <w:p w14:paraId="369B33BE" w14:textId="7F44CC5A" w:rsidR="00F66440" w:rsidRDefault="00ED552C" w:rsidP="00F66440">
            <w:pPr>
              <w:pStyle w:val="ListParagraph"/>
              <w:spacing w:line="276" w:lineRule="auto"/>
              <w:ind w:left="0"/>
              <w:jc w:val="both"/>
              <w:rPr>
                <w:rFonts w:ascii="Cambria" w:hAnsi="Cambria"/>
                <w:sz w:val="18"/>
                <w:szCs w:val="18"/>
                <w:lang w:val="es-ES_tradnl"/>
              </w:rPr>
            </w:pPr>
            <w:r w:rsidRPr="008F2A32">
              <w:rPr>
                <w:rFonts w:ascii="Cambria" w:hAnsi="Cambria"/>
                <w:sz w:val="18"/>
                <w:szCs w:val="18"/>
                <w:lang w:val="es-ES_tradnl"/>
              </w:rPr>
              <w:t>Asimismo</w:t>
            </w:r>
            <w:r w:rsidR="00DB179A" w:rsidRPr="008F2A32">
              <w:rPr>
                <w:rFonts w:ascii="Cambria" w:hAnsi="Cambria"/>
                <w:sz w:val="18"/>
                <w:szCs w:val="18"/>
                <w:lang w:val="es-ES_tradnl"/>
              </w:rPr>
              <w:t xml:space="preserve">, </w:t>
            </w:r>
            <w:r w:rsidR="00FE7A39">
              <w:rPr>
                <w:rFonts w:ascii="Cambria" w:hAnsi="Cambria"/>
                <w:sz w:val="18"/>
                <w:szCs w:val="18"/>
                <w:lang w:val="es-ES_tradnl"/>
              </w:rPr>
              <w:t xml:space="preserve">la Comisión </w:t>
            </w:r>
            <w:r w:rsidR="00DB179A" w:rsidRPr="008F2A32">
              <w:rPr>
                <w:rFonts w:ascii="Cambria" w:hAnsi="Cambria"/>
                <w:sz w:val="18"/>
                <w:szCs w:val="18"/>
                <w:lang w:val="es-ES_tradnl"/>
              </w:rPr>
              <w:t>nota un avance sustancial en el cumplimiento de la cláusula B</w:t>
            </w:r>
            <w:r w:rsidR="008F2A32">
              <w:rPr>
                <w:rFonts w:ascii="Cambria" w:hAnsi="Cambria"/>
                <w:sz w:val="18"/>
                <w:szCs w:val="18"/>
                <w:lang w:val="es-ES_tradnl"/>
              </w:rPr>
              <w:t xml:space="preserve"> al existir solicitudes de restitución de tierras. La Comisión invita a avanzar con estos procesos para alcanzar un cumplimiento total de la recomendación. Respecto </w:t>
            </w:r>
            <w:r w:rsidR="00F66440" w:rsidRPr="008F2A32">
              <w:rPr>
                <w:rFonts w:ascii="Cambria" w:hAnsi="Cambria"/>
                <w:sz w:val="18"/>
                <w:szCs w:val="18"/>
                <w:lang w:val="es-ES_tradnl"/>
              </w:rPr>
              <w:t>al cumplimiento de la cláusula</w:t>
            </w:r>
            <w:r w:rsidR="00DB179A" w:rsidRPr="008F2A32">
              <w:rPr>
                <w:rFonts w:ascii="Cambria" w:hAnsi="Cambria"/>
                <w:sz w:val="18"/>
                <w:szCs w:val="18"/>
                <w:lang w:val="es-ES_tradnl"/>
              </w:rPr>
              <w:t xml:space="preserve"> D</w:t>
            </w:r>
            <w:r w:rsidR="008B7F2D" w:rsidRPr="008F2A32">
              <w:rPr>
                <w:rFonts w:ascii="Cambria" w:hAnsi="Cambria"/>
                <w:sz w:val="18"/>
                <w:szCs w:val="18"/>
                <w:lang w:val="es-ES_tradnl"/>
              </w:rPr>
              <w:t>,</w:t>
            </w:r>
            <w:r w:rsidR="008F2A32">
              <w:rPr>
                <w:rFonts w:ascii="Cambria" w:hAnsi="Cambria"/>
                <w:sz w:val="18"/>
                <w:szCs w:val="18"/>
                <w:lang w:val="es-ES_tradnl"/>
              </w:rPr>
              <w:t xml:space="preserve"> la Comisión observa que no existe un acuerdo que permita avanzar con el cumplimiento de la recomendación,</w:t>
            </w:r>
            <w:r w:rsidR="00DB179A" w:rsidRPr="008F2A32">
              <w:rPr>
                <w:rFonts w:ascii="Cambria" w:hAnsi="Cambria"/>
                <w:sz w:val="18"/>
                <w:szCs w:val="18"/>
                <w:lang w:val="es-ES_tradnl"/>
              </w:rPr>
              <w:t xml:space="preserve"> por lo que invita a las partes </w:t>
            </w:r>
            <w:r w:rsidR="008B7F2D" w:rsidRPr="008F2A32">
              <w:rPr>
                <w:rFonts w:ascii="Cambria" w:hAnsi="Cambria"/>
                <w:sz w:val="18"/>
                <w:szCs w:val="18"/>
                <w:lang w:val="es-ES_tradnl"/>
              </w:rPr>
              <w:t>a un diálogo en torno</w:t>
            </w:r>
            <w:r w:rsidR="00DB179A" w:rsidRPr="008F2A32">
              <w:rPr>
                <w:rFonts w:ascii="Cambria" w:hAnsi="Cambria"/>
                <w:sz w:val="18"/>
                <w:szCs w:val="18"/>
                <w:lang w:val="es-ES_tradnl"/>
              </w:rPr>
              <w:t xml:space="preserve"> al monto necesario para la educación de Rodrigo Lemun</w:t>
            </w:r>
            <w:r w:rsidR="00F66440" w:rsidRPr="008F2A32">
              <w:rPr>
                <w:rFonts w:ascii="Cambria" w:hAnsi="Cambria"/>
                <w:sz w:val="18"/>
                <w:szCs w:val="18"/>
                <w:lang w:val="es-ES_tradnl"/>
              </w:rPr>
              <w:t xml:space="preserve">. </w:t>
            </w:r>
            <w:r w:rsidR="00F66440" w:rsidRPr="008F2A32">
              <w:rPr>
                <w:rFonts w:ascii="Cambria" w:hAnsi="Cambria"/>
                <w:sz w:val="18"/>
                <w:szCs w:val="18"/>
                <w:lang w:val="es-ES"/>
              </w:rPr>
              <w:t>L</w:t>
            </w:r>
            <w:r w:rsidR="00F66440" w:rsidRPr="008F2A32">
              <w:rPr>
                <w:rFonts w:ascii="Cambria" w:hAnsi="Cambria"/>
                <w:sz w:val="18"/>
                <w:szCs w:val="18"/>
                <w:lang w:val="es-ES_tradnl"/>
              </w:rPr>
              <w:t xml:space="preserve">a CIDH considera que los puntos </w:t>
            </w:r>
            <w:r w:rsidR="00DB179A" w:rsidRPr="008F2A32">
              <w:rPr>
                <w:rFonts w:ascii="Cambria" w:hAnsi="Cambria"/>
                <w:sz w:val="18"/>
                <w:szCs w:val="18"/>
                <w:lang w:val="es-ES_tradnl"/>
              </w:rPr>
              <w:t>1B</w:t>
            </w:r>
            <w:r w:rsidR="00F66440" w:rsidRPr="008F2A32">
              <w:rPr>
                <w:rFonts w:ascii="Cambria" w:hAnsi="Cambria"/>
                <w:sz w:val="18"/>
                <w:szCs w:val="18"/>
                <w:lang w:val="es-ES_tradnl"/>
              </w:rPr>
              <w:t xml:space="preserve"> y </w:t>
            </w:r>
            <w:r w:rsidR="00DB179A" w:rsidRPr="008F2A32">
              <w:rPr>
                <w:rFonts w:ascii="Cambria" w:hAnsi="Cambria"/>
                <w:sz w:val="18"/>
                <w:szCs w:val="18"/>
                <w:lang w:val="es-ES_tradnl"/>
              </w:rPr>
              <w:t>1</w:t>
            </w:r>
            <w:r w:rsidR="00F66440" w:rsidRPr="008F2A32">
              <w:rPr>
                <w:rFonts w:ascii="Cambria" w:hAnsi="Cambria"/>
                <w:sz w:val="18"/>
                <w:szCs w:val="18"/>
                <w:lang w:val="es-ES_tradnl"/>
              </w:rPr>
              <w:t>D del Acuerdo suscrito entre las partes se</w:t>
            </w:r>
            <w:r w:rsidR="008F2A32">
              <w:rPr>
                <w:rFonts w:ascii="Cambria" w:hAnsi="Cambria"/>
                <w:sz w:val="18"/>
                <w:szCs w:val="18"/>
                <w:lang w:val="es-ES_tradnl"/>
              </w:rPr>
              <w:t xml:space="preserve"> encuentra en cumplimiento parcial sustancial y parcial, respectivamente.</w:t>
            </w:r>
          </w:p>
          <w:p w14:paraId="45F316E3" w14:textId="77777777" w:rsidR="008F2A32" w:rsidRPr="008F2A32" w:rsidRDefault="008F2A32" w:rsidP="00F66440">
            <w:pPr>
              <w:pStyle w:val="ListParagraph"/>
              <w:spacing w:line="276" w:lineRule="auto"/>
              <w:ind w:left="0"/>
              <w:jc w:val="both"/>
              <w:rPr>
                <w:rFonts w:ascii="Cambria" w:hAnsi="Cambria"/>
                <w:b/>
                <w:bCs/>
                <w:sz w:val="18"/>
                <w:szCs w:val="18"/>
                <w:lang w:val="es-ES_tradnl"/>
              </w:rPr>
            </w:pPr>
          </w:p>
          <w:p w14:paraId="73D2D171" w14:textId="40117979" w:rsidR="006A0B04" w:rsidRPr="008F2A32" w:rsidRDefault="006F42E2" w:rsidP="006A0B04">
            <w:pPr>
              <w:pStyle w:val="ListParagraph"/>
              <w:spacing w:line="276" w:lineRule="auto"/>
              <w:ind w:left="0"/>
              <w:jc w:val="both"/>
              <w:rPr>
                <w:rFonts w:ascii="Cambria" w:hAnsi="Cambria"/>
                <w:b/>
                <w:bCs/>
                <w:sz w:val="18"/>
                <w:szCs w:val="18"/>
                <w:lang w:val="es-ES_tradnl"/>
              </w:rPr>
            </w:pPr>
            <w:r w:rsidRPr="008F2A32">
              <w:rPr>
                <w:rFonts w:ascii="Cambria" w:hAnsi="Cambria"/>
                <w:sz w:val="18"/>
                <w:szCs w:val="18"/>
                <w:lang w:val="es-ES_tradnl"/>
              </w:rPr>
              <w:t xml:space="preserve">En razón de lo anterior, la CIDH concluye que </w:t>
            </w:r>
            <w:r w:rsidR="006A0B04" w:rsidRPr="008F2A32">
              <w:rPr>
                <w:rFonts w:ascii="Cambria" w:hAnsi="Cambria"/>
                <w:sz w:val="18"/>
                <w:szCs w:val="18"/>
                <w:lang w:val="es-ES_tradnl"/>
              </w:rPr>
              <w:t xml:space="preserve">el nivel de cumplimiento de la recomendación permanece </w:t>
            </w:r>
            <w:r w:rsidR="006A0B04" w:rsidRPr="008F2A32">
              <w:rPr>
                <w:rFonts w:ascii="Cambria" w:hAnsi="Cambria"/>
                <w:b/>
                <w:bCs/>
                <w:sz w:val="18"/>
                <w:szCs w:val="18"/>
                <w:lang w:val="es-ES_tradnl"/>
              </w:rPr>
              <w:t xml:space="preserve">parcial sustancial. </w:t>
            </w:r>
          </w:p>
          <w:p w14:paraId="0125A114" w14:textId="79B9D0DC" w:rsidR="006A0B04" w:rsidRPr="008F2A32" w:rsidRDefault="006A0B04" w:rsidP="006F42E2">
            <w:pPr>
              <w:pStyle w:val="ListParagraph"/>
              <w:spacing w:line="276" w:lineRule="auto"/>
              <w:ind w:left="0"/>
              <w:jc w:val="both"/>
              <w:rPr>
                <w:rFonts w:ascii="Cambria" w:hAnsi="Cambria"/>
                <w:b/>
                <w:bCs/>
                <w:sz w:val="18"/>
                <w:szCs w:val="18"/>
                <w:lang w:val="es-ES_tradnl"/>
              </w:rPr>
            </w:pPr>
          </w:p>
          <w:p w14:paraId="0C94D261" w14:textId="77777777" w:rsidR="006F42E2" w:rsidRPr="008F2A32" w:rsidRDefault="006F42E2" w:rsidP="00F66440">
            <w:pPr>
              <w:pStyle w:val="ListParagraph"/>
              <w:spacing w:line="276" w:lineRule="auto"/>
              <w:ind w:left="0"/>
              <w:jc w:val="both"/>
              <w:rPr>
                <w:rFonts w:ascii="Cambria" w:hAnsi="Cambria"/>
                <w:b/>
                <w:bCs/>
                <w:sz w:val="18"/>
                <w:szCs w:val="18"/>
                <w:lang w:val="es-ES_tradnl"/>
              </w:rPr>
            </w:pPr>
          </w:p>
          <w:p w14:paraId="5043CB0F" w14:textId="7B1CCB9F" w:rsidR="00FD0BBE" w:rsidRPr="008F2A32" w:rsidRDefault="00FD0BBE" w:rsidP="00F66440">
            <w:pPr>
              <w:pStyle w:val="ListParagraph"/>
              <w:spacing w:line="276" w:lineRule="auto"/>
              <w:ind w:left="0"/>
              <w:jc w:val="both"/>
              <w:rPr>
                <w:rFonts w:ascii="Cambria" w:hAnsi="Cambria"/>
                <w:sz w:val="18"/>
                <w:szCs w:val="18"/>
                <w:lang w:val="es-ES"/>
              </w:rPr>
            </w:pPr>
          </w:p>
        </w:tc>
      </w:tr>
      <w:tr w:rsidR="00FD0BBE" w:rsidRPr="008F2A32" w14:paraId="37441B5E" w14:textId="77777777" w:rsidTr="00EF7072">
        <w:tc>
          <w:tcPr>
            <w:tcW w:w="9649" w:type="dxa"/>
            <w:gridSpan w:val="3"/>
            <w:shd w:val="clear" w:color="auto" w:fill="D9D9D9" w:themeFill="background1" w:themeFillShade="D9"/>
          </w:tcPr>
          <w:p w14:paraId="415EA49D" w14:textId="77777777" w:rsidR="003859E2" w:rsidRDefault="003859E2" w:rsidP="00E73515">
            <w:pPr>
              <w:spacing w:line="276" w:lineRule="auto"/>
              <w:jc w:val="both"/>
              <w:rPr>
                <w:rFonts w:ascii="Cambria" w:hAnsi="Cambria"/>
                <w:b/>
                <w:sz w:val="18"/>
                <w:szCs w:val="18"/>
              </w:rPr>
            </w:pPr>
          </w:p>
          <w:p w14:paraId="09E16363" w14:textId="22CD8471" w:rsidR="00FD0BBE" w:rsidRPr="008F2A32" w:rsidRDefault="00FD0BBE" w:rsidP="00E73515">
            <w:pPr>
              <w:spacing w:line="276" w:lineRule="auto"/>
              <w:jc w:val="both"/>
              <w:rPr>
                <w:rFonts w:ascii="Cambria" w:hAnsi="Cambria"/>
                <w:b/>
                <w:sz w:val="18"/>
                <w:szCs w:val="18"/>
              </w:rPr>
            </w:pPr>
            <w:r w:rsidRPr="008F2A32">
              <w:rPr>
                <w:rFonts w:ascii="Cambria" w:hAnsi="Cambria"/>
                <w:b/>
                <w:sz w:val="18"/>
                <w:szCs w:val="18"/>
              </w:rPr>
              <w:t>Medidas relevantes de cumplimiento adoptadas en 2023:</w:t>
            </w:r>
          </w:p>
          <w:p w14:paraId="72A0EDBE" w14:textId="77777777" w:rsidR="00FD0BBE" w:rsidRPr="003859E2" w:rsidRDefault="006F42E2" w:rsidP="00E73515">
            <w:pPr>
              <w:pStyle w:val="ListParagraph"/>
              <w:numPr>
                <w:ilvl w:val="0"/>
                <w:numId w:val="2"/>
              </w:numPr>
              <w:spacing w:line="276" w:lineRule="auto"/>
              <w:jc w:val="both"/>
              <w:rPr>
                <w:rFonts w:ascii="Cambria" w:hAnsi="Cambria"/>
                <w:b/>
                <w:sz w:val="18"/>
                <w:szCs w:val="18"/>
              </w:rPr>
            </w:pPr>
            <w:r w:rsidRPr="008F2A32">
              <w:rPr>
                <w:rFonts w:ascii="Cambria" w:hAnsi="Cambria"/>
                <w:sz w:val="18"/>
                <w:szCs w:val="18"/>
                <w:lang w:val="es-ES_tradnl"/>
              </w:rPr>
              <w:t>Las partes no proporcionaron información sobre medidas de cumplimiento.</w:t>
            </w:r>
          </w:p>
          <w:p w14:paraId="3F09C082" w14:textId="6C5ACE15" w:rsidR="003859E2" w:rsidRPr="008F2A32" w:rsidRDefault="003859E2" w:rsidP="003859E2">
            <w:pPr>
              <w:pStyle w:val="ListParagraph"/>
              <w:spacing w:line="276" w:lineRule="auto"/>
              <w:ind w:left="360"/>
              <w:jc w:val="both"/>
              <w:rPr>
                <w:rFonts w:ascii="Cambria" w:hAnsi="Cambria"/>
                <w:b/>
                <w:sz w:val="18"/>
                <w:szCs w:val="18"/>
              </w:rPr>
            </w:pPr>
          </w:p>
        </w:tc>
      </w:tr>
    </w:tbl>
    <w:p w14:paraId="07459315" w14:textId="77777777" w:rsidR="00917366" w:rsidRPr="007C674E" w:rsidRDefault="00917366" w:rsidP="00917366">
      <w:pPr>
        <w:spacing w:after="0" w:line="276" w:lineRule="auto"/>
        <w:jc w:val="both"/>
        <w:rPr>
          <w:rFonts w:ascii="Cambria" w:hAnsi="Cambria"/>
          <w:b/>
          <w:sz w:val="20"/>
          <w:szCs w:val="20"/>
        </w:rPr>
      </w:pPr>
    </w:p>
    <w:p w14:paraId="5F494604" w14:textId="77777777" w:rsidR="00917366" w:rsidRPr="007C674E" w:rsidRDefault="00917366" w:rsidP="00917366">
      <w:pPr>
        <w:pStyle w:val="ListParagraph"/>
        <w:numPr>
          <w:ilvl w:val="0"/>
          <w:numId w:val="3"/>
        </w:numPr>
        <w:spacing w:after="0" w:line="276" w:lineRule="auto"/>
        <w:jc w:val="both"/>
        <w:rPr>
          <w:rFonts w:ascii="Cambria" w:hAnsi="Cambria"/>
          <w:b/>
          <w:sz w:val="20"/>
          <w:szCs w:val="20"/>
        </w:rPr>
      </w:pPr>
      <w:r w:rsidRPr="007C674E">
        <w:rPr>
          <w:rFonts w:ascii="Cambria" w:hAnsi="Cambria"/>
          <w:b/>
          <w:sz w:val="20"/>
          <w:szCs w:val="20"/>
        </w:rPr>
        <w:t>Segunda recomendación</w:t>
      </w:r>
    </w:p>
    <w:p w14:paraId="6537F28F" w14:textId="77777777" w:rsidR="00917366" w:rsidRPr="007C674E" w:rsidRDefault="00917366" w:rsidP="00917366">
      <w:pPr>
        <w:spacing w:after="0" w:line="276" w:lineRule="auto"/>
        <w:jc w:val="both"/>
        <w:rPr>
          <w:rFonts w:ascii="Cambria" w:hAnsi="Cambria"/>
          <w:b/>
          <w:sz w:val="20"/>
          <w:szCs w:val="20"/>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2250"/>
        <w:gridCol w:w="2340"/>
      </w:tblGrid>
      <w:tr w:rsidR="00917366" w:rsidRPr="008F2A32" w14:paraId="6E9700A0" w14:textId="77777777" w:rsidTr="00EF7072">
        <w:tc>
          <w:tcPr>
            <w:tcW w:w="7309" w:type="dxa"/>
            <w:gridSpan w:val="2"/>
            <w:shd w:val="clear" w:color="auto" w:fill="B4C6E7" w:themeFill="accent5" w:themeFillTint="66"/>
          </w:tcPr>
          <w:p w14:paraId="6DFB9E20" w14:textId="77777777" w:rsidR="00917366" w:rsidRPr="008F2A32" w:rsidRDefault="00917366" w:rsidP="00E73515">
            <w:pPr>
              <w:pStyle w:val="ListParagraph"/>
              <w:spacing w:line="276" w:lineRule="auto"/>
              <w:ind w:left="0"/>
              <w:jc w:val="both"/>
              <w:rPr>
                <w:rFonts w:ascii="Cambria" w:hAnsi="Cambria"/>
                <w:b/>
                <w:bCs/>
                <w:sz w:val="18"/>
                <w:szCs w:val="18"/>
              </w:rPr>
            </w:pPr>
          </w:p>
          <w:p w14:paraId="594B3BFC" w14:textId="77777777" w:rsidR="00917366" w:rsidRDefault="00917366" w:rsidP="00E73515">
            <w:pPr>
              <w:pStyle w:val="ListParagraph"/>
              <w:spacing w:line="276" w:lineRule="auto"/>
              <w:ind w:left="0"/>
              <w:jc w:val="both"/>
              <w:rPr>
                <w:rFonts w:ascii="Cambria" w:eastAsia="Times New Roman" w:hAnsi="Cambria" w:cs="Times New Roman"/>
                <w:b/>
                <w:color w:val="000000" w:themeColor="text1"/>
                <w:sz w:val="18"/>
                <w:szCs w:val="18"/>
                <w:lang w:val="es-ES"/>
              </w:rPr>
            </w:pPr>
            <w:r w:rsidRPr="008F2A32">
              <w:rPr>
                <w:rFonts w:ascii="Cambria" w:hAnsi="Cambria"/>
                <w:b/>
                <w:bCs/>
                <w:sz w:val="18"/>
                <w:szCs w:val="18"/>
              </w:rPr>
              <w:t xml:space="preserve">Recomendación 2. </w:t>
            </w:r>
            <w:r w:rsidRPr="008F2A32">
              <w:rPr>
                <w:rFonts w:ascii="Cambria" w:eastAsia="Times New Roman" w:hAnsi="Cambria" w:cs="Times New Roman"/>
                <w:b/>
                <w:color w:val="000000" w:themeColor="text1"/>
                <w:sz w:val="18"/>
                <w:szCs w:val="18"/>
                <w:lang w:val="es-ES"/>
              </w:rPr>
              <w:t xml:space="preserve">Iniciar una investigación efectiva y dentro de un plazo razonable en la jurisdicción penal ordinaria, con el objeto de esclarecer los hechos en forma completa, identificar todas las posibles responsabilidades e imponer las sanciones que correspondan respecto de las violaciones de derechos humanos declaradas en el presente informe. El Estado no podrá oponer la aplicación del principio de </w:t>
            </w:r>
            <w:r w:rsidR="00561ED3" w:rsidRPr="008F2A32">
              <w:rPr>
                <w:rFonts w:ascii="Cambria" w:eastAsia="Times New Roman" w:hAnsi="Cambria" w:cs="Times New Roman"/>
                <w:b/>
                <w:i/>
                <w:iCs/>
                <w:color w:val="000000" w:themeColor="text1"/>
                <w:sz w:val="18"/>
                <w:szCs w:val="18"/>
                <w:lang w:val="es-ES"/>
              </w:rPr>
              <w:t>non</w:t>
            </w:r>
            <w:r w:rsidRPr="008F2A32">
              <w:rPr>
                <w:rFonts w:ascii="Cambria" w:eastAsia="Times New Roman" w:hAnsi="Cambria" w:cs="Times New Roman"/>
                <w:b/>
                <w:i/>
                <w:iCs/>
                <w:color w:val="000000" w:themeColor="text1"/>
                <w:sz w:val="18"/>
                <w:szCs w:val="18"/>
                <w:lang w:val="es-ES"/>
              </w:rPr>
              <w:t xml:space="preserve"> bis in idem</w:t>
            </w:r>
            <w:r w:rsidRPr="008F2A32">
              <w:rPr>
                <w:rFonts w:ascii="Cambria" w:eastAsia="Times New Roman" w:hAnsi="Cambria" w:cs="Times New Roman"/>
                <w:b/>
                <w:color w:val="000000" w:themeColor="text1"/>
                <w:sz w:val="18"/>
                <w:szCs w:val="18"/>
                <w:lang w:val="es-ES"/>
              </w:rPr>
              <w:t xml:space="preserve"> para no dar cumplimiento a esta obligación, tomando en cuenta que la decisión definitiva a nivel interno fue el resultado de un proceso violatorio de las garantías de juez natural, independencia e imparcialidad.</w:t>
            </w:r>
          </w:p>
          <w:p w14:paraId="3CF8D575" w14:textId="34B9DC75" w:rsidR="00B7466B" w:rsidRPr="008F2A32" w:rsidRDefault="00B7466B" w:rsidP="00E73515">
            <w:pPr>
              <w:pStyle w:val="ListParagraph"/>
              <w:spacing w:line="276" w:lineRule="auto"/>
              <w:ind w:left="0"/>
              <w:jc w:val="both"/>
              <w:rPr>
                <w:rFonts w:ascii="Cambria" w:hAnsi="Cambria"/>
                <w:b/>
                <w:bCs/>
                <w:sz w:val="18"/>
                <w:szCs w:val="18"/>
              </w:rPr>
            </w:pPr>
          </w:p>
        </w:tc>
        <w:tc>
          <w:tcPr>
            <w:tcW w:w="2340" w:type="dxa"/>
            <w:shd w:val="clear" w:color="auto" w:fill="B4C6E7" w:themeFill="accent5" w:themeFillTint="66"/>
          </w:tcPr>
          <w:p w14:paraId="70DF9E56" w14:textId="77777777" w:rsidR="00917366" w:rsidRPr="008F2A32" w:rsidRDefault="00917366" w:rsidP="00E73515">
            <w:pPr>
              <w:spacing w:line="276" w:lineRule="auto"/>
              <w:jc w:val="center"/>
              <w:rPr>
                <w:rFonts w:ascii="Cambria" w:hAnsi="Cambria"/>
                <w:b/>
                <w:bCs/>
                <w:sz w:val="18"/>
                <w:szCs w:val="18"/>
                <w:lang w:val="es-ES"/>
              </w:rPr>
            </w:pPr>
          </w:p>
          <w:p w14:paraId="5717C761" w14:textId="7C3354B4" w:rsidR="00917366" w:rsidRPr="008F2A32" w:rsidRDefault="00917366" w:rsidP="00E73515">
            <w:pPr>
              <w:spacing w:line="276" w:lineRule="auto"/>
              <w:jc w:val="center"/>
              <w:rPr>
                <w:rFonts w:ascii="Cambria" w:hAnsi="Cambria"/>
                <w:b/>
                <w:bCs/>
                <w:sz w:val="18"/>
                <w:szCs w:val="18"/>
                <w:lang w:val="es-ES"/>
              </w:rPr>
            </w:pPr>
            <w:r w:rsidRPr="008F2A32">
              <w:rPr>
                <w:rFonts w:ascii="Cambria" w:hAnsi="Cambria"/>
                <w:b/>
                <w:bCs/>
                <w:sz w:val="18"/>
                <w:szCs w:val="18"/>
                <w:lang w:val="es-ES"/>
              </w:rPr>
              <w:t xml:space="preserve">Cumplimiento </w:t>
            </w:r>
            <w:r w:rsidR="00DB179A" w:rsidRPr="008F2A32">
              <w:rPr>
                <w:rFonts w:ascii="Cambria" w:hAnsi="Cambria"/>
                <w:b/>
                <w:bCs/>
                <w:sz w:val="18"/>
                <w:szCs w:val="18"/>
                <w:lang w:val="es-ES"/>
              </w:rPr>
              <w:t>Total</w:t>
            </w:r>
          </w:p>
          <w:p w14:paraId="44E871BC" w14:textId="77777777" w:rsidR="00917366" w:rsidRPr="008F2A32" w:rsidRDefault="00917366" w:rsidP="00E73515">
            <w:pPr>
              <w:pStyle w:val="ListParagraph"/>
              <w:spacing w:line="276" w:lineRule="auto"/>
              <w:ind w:left="0"/>
              <w:jc w:val="center"/>
              <w:rPr>
                <w:rFonts w:ascii="Cambria" w:hAnsi="Cambria"/>
                <w:b/>
                <w:bCs/>
                <w:sz w:val="18"/>
                <w:szCs w:val="18"/>
              </w:rPr>
            </w:pPr>
          </w:p>
        </w:tc>
      </w:tr>
      <w:tr w:rsidR="00917366" w:rsidRPr="008F2A32" w14:paraId="14A87DA7" w14:textId="77777777" w:rsidTr="00EF7072">
        <w:tc>
          <w:tcPr>
            <w:tcW w:w="5059" w:type="dxa"/>
            <w:shd w:val="clear" w:color="auto" w:fill="F2F2F2" w:themeFill="background1" w:themeFillShade="F2"/>
          </w:tcPr>
          <w:p w14:paraId="144A5D23" w14:textId="77777777" w:rsidR="00917366" w:rsidRPr="008F2A32" w:rsidRDefault="00917366" w:rsidP="00E73515">
            <w:pPr>
              <w:spacing w:line="276" w:lineRule="auto"/>
              <w:jc w:val="both"/>
              <w:rPr>
                <w:rFonts w:ascii="Cambria" w:hAnsi="Cambria"/>
                <w:b/>
                <w:bCs/>
                <w:sz w:val="18"/>
                <w:szCs w:val="18"/>
              </w:rPr>
            </w:pPr>
          </w:p>
          <w:p w14:paraId="70DF73F4" w14:textId="50B3FE45" w:rsidR="00917366" w:rsidRPr="008F2A32" w:rsidRDefault="00917366" w:rsidP="00E73515">
            <w:pPr>
              <w:spacing w:line="276" w:lineRule="auto"/>
              <w:jc w:val="both"/>
              <w:rPr>
                <w:rFonts w:ascii="Cambria" w:hAnsi="Cambria"/>
                <w:sz w:val="18"/>
                <w:szCs w:val="18"/>
                <w:lang w:val="es-ES"/>
              </w:rPr>
            </w:pPr>
            <w:r w:rsidRPr="008F2A32">
              <w:rPr>
                <w:rFonts w:ascii="Cambria" w:hAnsi="Cambria"/>
                <w:b/>
                <w:bCs/>
                <w:sz w:val="18"/>
                <w:szCs w:val="18"/>
              </w:rPr>
              <w:lastRenderedPageBreak/>
              <w:t>Información del Estado en 2023:</w:t>
            </w:r>
            <w:r w:rsidRPr="008F2A32">
              <w:rPr>
                <w:rFonts w:ascii="Cambria" w:hAnsi="Cambria"/>
                <w:sz w:val="18"/>
                <w:szCs w:val="18"/>
                <w:lang w:val="es-ES"/>
              </w:rPr>
              <w:t xml:space="preserve"> </w:t>
            </w:r>
            <w:r w:rsidR="006F42E2" w:rsidRPr="008F2A32">
              <w:rPr>
                <w:rFonts w:ascii="Cambria" w:hAnsi="Cambria"/>
                <w:sz w:val="18"/>
                <w:szCs w:val="18"/>
                <w:lang w:val="es-ES"/>
              </w:rPr>
              <w:t>El Estado reiteró la información proporcionada en años anteriores</w:t>
            </w:r>
            <w:r w:rsidR="0095092D" w:rsidRPr="008F2A32">
              <w:rPr>
                <w:rFonts w:ascii="Cambria" w:hAnsi="Cambria"/>
                <w:sz w:val="18"/>
                <w:szCs w:val="18"/>
                <w:lang w:val="es-ES"/>
              </w:rPr>
              <w:t>. Señaló</w:t>
            </w:r>
            <w:r w:rsidR="006F42E2" w:rsidRPr="008F2A32">
              <w:rPr>
                <w:rFonts w:ascii="Cambria" w:hAnsi="Cambria"/>
                <w:sz w:val="18"/>
                <w:szCs w:val="18"/>
                <w:lang w:val="es-ES"/>
              </w:rPr>
              <w:t xml:space="preserve"> que</w:t>
            </w:r>
            <w:r w:rsidR="005A668B" w:rsidRPr="008F2A32">
              <w:rPr>
                <w:rFonts w:ascii="Cambria" w:hAnsi="Cambria"/>
                <w:sz w:val="18"/>
                <w:szCs w:val="18"/>
                <w:lang w:val="es-ES"/>
              </w:rPr>
              <w:t>,</w:t>
            </w:r>
            <w:r w:rsidR="006F42E2" w:rsidRPr="008F2A32">
              <w:rPr>
                <w:rFonts w:ascii="Cambria" w:hAnsi="Cambria"/>
                <w:sz w:val="18"/>
                <w:szCs w:val="18"/>
                <w:lang w:val="es-ES"/>
              </w:rPr>
              <w:t xml:space="preserve"> </w:t>
            </w:r>
            <w:r w:rsidR="00490877" w:rsidRPr="008F2A32">
              <w:rPr>
                <w:rFonts w:ascii="Cambria" w:hAnsi="Cambria"/>
                <w:sz w:val="18"/>
                <w:szCs w:val="18"/>
                <w:lang w:val="es-ES"/>
              </w:rPr>
              <w:t>mediante sentencia de</w:t>
            </w:r>
            <w:r w:rsidR="0095092D" w:rsidRPr="008F2A32">
              <w:rPr>
                <w:rFonts w:ascii="Cambria" w:hAnsi="Cambria"/>
                <w:sz w:val="18"/>
                <w:szCs w:val="18"/>
                <w:lang w:val="es-ES"/>
              </w:rPr>
              <w:t>l</w:t>
            </w:r>
            <w:r w:rsidR="00490877" w:rsidRPr="008F2A32">
              <w:rPr>
                <w:rFonts w:ascii="Cambria" w:hAnsi="Cambria"/>
                <w:sz w:val="18"/>
                <w:szCs w:val="18"/>
                <w:lang w:val="es-ES"/>
              </w:rPr>
              <w:t xml:space="preserve"> 5 de noviembre de 2022</w:t>
            </w:r>
            <w:r w:rsidR="005A668B" w:rsidRPr="008F2A32">
              <w:rPr>
                <w:rFonts w:ascii="Cambria" w:hAnsi="Cambria"/>
                <w:sz w:val="18"/>
                <w:szCs w:val="18"/>
                <w:lang w:val="es-ES"/>
              </w:rPr>
              <w:t xml:space="preserve"> de</w:t>
            </w:r>
            <w:r w:rsidR="00490877" w:rsidRPr="008F2A32">
              <w:rPr>
                <w:rFonts w:ascii="Cambria" w:hAnsi="Cambria"/>
                <w:sz w:val="18"/>
                <w:szCs w:val="18"/>
                <w:lang w:val="es-ES"/>
              </w:rPr>
              <w:t xml:space="preserve">l Tribunal de Juicio Oral en lo Penal de Angol, se condenó al Sr. Treuer Heysen a siete años de presidio mayor en su grado mínimo, como autor del delito consumado de homicidio simple. Dicha pena deberá ser cumplida sirviéndole de abono los </w:t>
            </w:r>
            <w:r w:rsidR="00997768" w:rsidRPr="008F2A32">
              <w:rPr>
                <w:rFonts w:ascii="Cambria" w:hAnsi="Cambria"/>
                <w:sz w:val="18"/>
                <w:szCs w:val="18"/>
                <w:lang w:val="es-ES"/>
              </w:rPr>
              <w:t xml:space="preserve">3 </w:t>
            </w:r>
            <w:r w:rsidR="00490877" w:rsidRPr="008F2A32">
              <w:rPr>
                <w:rFonts w:ascii="Cambria" w:hAnsi="Cambria"/>
                <w:sz w:val="18"/>
                <w:szCs w:val="18"/>
                <w:lang w:val="es-ES"/>
              </w:rPr>
              <w:t xml:space="preserve">años y </w:t>
            </w:r>
            <w:r w:rsidR="00997768" w:rsidRPr="008F2A32">
              <w:rPr>
                <w:rFonts w:ascii="Cambria" w:hAnsi="Cambria"/>
                <w:sz w:val="18"/>
                <w:szCs w:val="18"/>
                <w:lang w:val="es-ES"/>
              </w:rPr>
              <w:t>158</w:t>
            </w:r>
            <w:r w:rsidR="00490877" w:rsidRPr="008F2A32">
              <w:rPr>
                <w:rFonts w:ascii="Cambria" w:hAnsi="Cambria"/>
                <w:sz w:val="18"/>
                <w:szCs w:val="18"/>
                <w:lang w:val="es-ES"/>
              </w:rPr>
              <w:t xml:space="preserve"> que permaneció privado de libertad.</w:t>
            </w:r>
          </w:p>
          <w:p w14:paraId="738610EB" w14:textId="77777777" w:rsidR="00917366" w:rsidRPr="008F2A32" w:rsidRDefault="00917366" w:rsidP="00E73515">
            <w:pPr>
              <w:spacing w:line="276" w:lineRule="auto"/>
              <w:jc w:val="both"/>
              <w:rPr>
                <w:rFonts w:ascii="Cambria" w:hAnsi="Cambria"/>
                <w:sz w:val="18"/>
                <w:szCs w:val="18"/>
              </w:rPr>
            </w:pPr>
          </w:p>
          <w:p w14:paraId="26649490" w14:textId="77777777" w:rsidR="00917366" w:rsidRPr="008F2A32" w:rsidRDefault="00917366" w:rsidP="00E73515">
            <w:pPr>
              <w:spacing w:line="276" w:lineRule="auto"/>
              <w:jc w:val="both"/>
              <w:rPr>
                <w:rFonts w:ascii="Cambria" w:hAnsi="Cambria"/>
                <w:sz w:val="18"/>
                <w:szCs w:val="18"/>
                <w:lang w:val="es-ES"/>
              </w:rPr>
            </w:pPr>
            <w:r w:rsidRPr="008F2A32">
              <w:rPr>
                <w:rFonts w:ascii="Cambria" w:hAnsi="Cambria"/>
                <w:b/>
                <w:bCs/>
                <w:sz w:val="18"/>
                <w:szCs w:val="18"/>
                <w:lang w:val="es-ES"/>
              </w:rPr>
              <w:t>Información de la parte peticionaria en 2023:</w:t>
            </w:r>
            <w:r w:rsidRPr="008F2A32">
              <w:rPr>
                <w:rFonts w:ascii="Cambria" w:hAnsi="Cambria"/>
                <w:sz w:val="18"/>
                <w:szCs w:val="18"/>
                <w:lang w:val="es-ES"/>
              </w:rPr>
              <w:t xml:space="preserve"> </w:t>
            </w:r>
            <w:r w:rsidR="006F42E2" w:rsidRPr="008F2A32">
              <w:rPr>
                <w:rFonts w:ascii="Cambria" w:hAnsi="Cambria"/>
                <w:sz w:val="18"/>
                <w:szCs w:val="18"/>
                <w:lang w:val="es-ES"/>
              </w:rPr>
              <w:t xml:space="preserve">La parte peticionaria informó que </w:t>
            </w:r>
            <w:r w:rsidR="00E23747" w:rsidRPr="008F2A32">
              <w:rPr>
                <w:rFonts w:ascii="Cambria" w:hAnsi="Cambria"/>
                <w:sz w:val="18"/>
                <w:szCs w:val="18"/>
                <w:lang w:val="es-ES"/>
              </w:rPr>
              <w:t xml:space="preserve">la sentencia </w:t>
            </w:r>
            <w:r w:rsidR="006F42E2" w:rsidRPr="008F2A32">
              <w:rPr>
                <w:rFonts w:ascii="Cambria" w:hAnsi="Cambria"/>
                <w:sz w:val="18"/>
                <w:szCs w:val="18"/>
                <w:lang w:val="es-ES"/>
              </w:rPr>
              <w:t>habría</w:t>
            </w:r>
            <w:r w:rsidR="00E23747" w:rsidRPr="008F2A32">
              <w:rPr>
                <w:rFonts w:ascii="Cambria" w:hAnsi="Cambria"/>
                <w:sz w:val="18"/>
                <w:szCs w:val="18"/>
                <w:lang w:val="es-ES"/>
              </w:rPr>
              <w:t xml:space="preserve"> </w:t>
            </w:r>
            <w:r w:rsidR="006F42E2" w:rsidRPr="008F2A32">
              <w:rPr>
                <w:rFonts w:ascii="Cambria" w:hAnsi="Cambria"/>
                <w:sz w:val="18"/>
                <w:szCs w:val="18"/>
                <w:lang w:val="es-ES"/>
              </w:rPr>
              <w:t xml:space="preserve">sido </w:t>
            </w:r>
            <w:r w:rsidR="00E23747" w:rsidRPr="008F2A32">
              <w:rPr>
                <w:rFonts w:ascii="Cambria" w:hAnsi="Cambria"/>
                <w:sz w:val="18"/>
                <w:szCs w:val="18"/>
                <w:lang w:val="es-ES"/>
              </w:rPr>
              <w:t xml:space="preserve">un paso fundamental para garantizar reparaciones a 20 años de los hechos y avanzar en las recomendaciones ordenadas por la CIDH. </w:t>
            </w:r>
          </w:p>
          <w:p w14:paraId="0B97630A" w14:textId="3A81F36E" w:rsidR="00997768" w:rsidRPr="008F2A32" w:rsidRDefault="00997768" w:rsidP="00E73515">
            <w:pPr>
              <w:spacing w:line="276" w:lineRule="auto"/>
              <w:jc w:val="both"/>
              <w:rPr>
                <w:rFonts w:ascii="Cambria" w:hAnsi="Cambria"/>
                <w:sz w:val="18"/>
                <w:szCs w:val="18"/>
              </w:rPr>
            </w:pPr>
          </w:p>
        </w:tc>
        <w:tc>
          <w:tcPr>
            <w:tcW w:w="4590" w:type="dxa"/>
            <w:gridSpan w:val="2"/>
            <w:shd w:val="clear" w:color="auto" w:fill="F2F2F2" w:themeFill="background1" w:themeFillShade="F2"/>
          </w:tcPr>
          <w:p w14:paraId="637805D2" w14:textId="77777777" w:rsidR="00917366" w:rsidRPr="008F2A32" w:rsidRDefault="00917366" w:rsidP="00E73515">
            <w:pPr>
              <w:pStyle w:val="ListParagraph"/>
              <w:spacing w:line="276" w:lineRule="auto"/>
              <w:ind w:left="0"/>
              <w:jc w:val="both"/>
              <w:rPr>
                <w:rFonts w:ascii="Cambria" w:hAnsi="Cambria"/>
                <w:b/>
                <w:sz w:val="18"/>
                <w:szCs w:val="18"/>
                <w:lang w:val="es-ES_tradnl"/>
              </w:rPr>
            </w:pPr>
          </w:p>
          <w:p w14:paraId="12A267B3" w14:textId="242E7EC6" w:rsidR="006F42E2" w:rsidRPr="008F2A32" w:rsidRDefault="00917366" w:rsidP="006F42E2">
            <w:pPr>
              <w:pStyle w:val="ListParagraph"/>
              <w:spacing w:line="276" w:lineRule="auto"/>
              <w:ind w:left="0"/>
              <w:jc w:val="both"/>
              <w:rPr>
                <w:rFonts w:ascii="Cambria" w:hAnsi="Cambria"/>
                <w:b/>
                <w:bCs/>
                <w:sz w:val="18"/>
                <w:szCs w:val="18"/>
                <w:lang w:val="es-ES_tradnl"/>
              </w:rPr>
            </w:pPr>
            <w:r w:rsidRPr="008F2A32">
              <w:rPr>
                <w:rFonts w:ascii="Cambria" w:hAnsi="Cambria"/>
                <w:b/>
                <w:sz w:val="18"/>
                <w:szCs w:val="18"/>
                <w:lang w:val="es-ES_tradnl"/>
              </w:rPr>
              <w:lastRenderedPageBreak/>
              <w:t>Análisis de cumplimiento:</w:t>
            </w:r>
            <w:r w:rsidRPr="008F2A32">
              <w:rPr>
                <w:rFonts w:ascii="Cambria" w:hAnsi="Cambria"/>
                <w:sz w:val="18"/>
                <w:szCs w:val="18"/>
                <w:lang w:val="es-ES_tradnl"/>
              </w:rPr>
              <w:t xml:space="preserve"> </w:t>
            </w:r>
            <w:r w:rsidR="00DB179A" w:rsidRPr="008F2A32">
              <w:rPr>
                <w:rFonts w:ascii="Cambria" w:hAnsi="Cambria"/>
                <w:sz w:val="18"/>
                <w:szCs w:val="18"/>
                <w:lang w:val="es-ES_tradnl"/>
              </w:rPr>
              <w:t>La Comisión toma nota de la sentencia señalada por ambas partes</w:t>
            </w:r>
            <w:r w:rsidR="00DB179A" w:rsidRPr="008F2A32">
              <w:rPr>
                <w:rFonts w:ascii="Cambria" w:hAnsi="Cambria"/>
                <w:sz w:val="18"/>
                <w:szCs w:val="18"/>
                <w:lang w:val="es-ES"/>
              </w:rPr>
              <w:t xml:space="preserve">. </w:t>
            </w:r>
            <w:r w:rsidR="006F42E2" w:rsidRPr="008F2A32">
              <w:rPr>
                <w:rFonts w:ascii="Cambria" w:hAnsi="Cambria"/>
                <w:sz w:val="18"/>
                <w:szCs w:val="18"/>
                <w:lang w:val="es-ES_tradnl"/>
              </w:rPr>
              <w:t xml:space="preserve">En razón de lo anterior, la CIDH concluye que la segunda recomendación </w:t>
            </w:r>
            <w:r w:rsidR="00997768" w:rsidRPr="008F2A32">
              <w:rPr>
                <w:rFonts w:ascii="Cambria" w:hAnsi="Cambria"/>
                <w:sz w:val="18"/>
                <w:szCs w:val="18"/>
                <w:lang w:val="es-ES_tradnl"/>
              </w:rPr>
              <w:t xml:space="preserve">avanza </w:t>
            </w:r>
            <w:r w:rsidR="008D56AF" w:rsidRPr="008F2A32">
              <w:rPr>
                <w:rFonts w:ascii="Cambria" w:hAnsi="Cambria"/>
                <w:sz w:val="18"/>
                <w:szCs w:val="18"/>
                <w:lang w:val="es-ES_tradnl"/>
              </w:rPr>
              <w:t>a</w:t>
            </w:r>
            <w:r w:rsidR="006F42E2" w:rsidRPr="008F2A32">
              <w:rPr>
                <w:rFonts w:ascii="Cambria" w:hAnsi="Cambria"/>
                <w:sz w:val="18"/>
                <w:szCs w:val="18"/>
                <w:lang w:val="es-ES_tradnl"/>
              </w:rPr>
              <w:t xml:space="preserve"> </w:t>
            </w:r>
            <w:r w:rsidR="006F42E2" w:rsidRPr="008F2A32">
              <w:rPr>
                <w:rFonts w:ascii="Cambria" w:hAnsi="Cambria"/>
                <w:b/>
                <w:bCs/>
                <w:sz w:val="18"/>
                <w:szCs w:val="18"/>
                <w:lang w:val="es-ES_tradnl"/>
              </w:rPr>
              <w:t>totalmente cumplida.</w:t>
            </w:r>
          </w:p>
          <w:p w14:paraId="73A8427F" w14:textId="7B70FB51" w:rsidR="006F42E2" w:rsidRPr="008F2A32" w:rsidRDefault="006F42E2" w:rsidP="00E73515">
            <w:pPr>
              <w:pStyle w:val="ListParagraph"/>
              <w:spacing w:line="276" w:lineRule="auto"/>
              <w:ind w:left="0"/>
              <w:jc w:val="both"/>
              <w:rPr>
                <w:rFonts w:ascii="Cambria" w:hAnsi="Cambria"/>
                <w:b/>
                <w:bCs/>
                <w:sz w:val="18"/>
                <w:szCs w:val="18"/>
                <w:lang w:val="es-ES_tradnl"/>
              </w:rPr>
            </w:pPr>
          </w:p>
          <w:p w14:paraId="5BB16AFF" w14:textId="77777777" w:rsidR="006F42E2" w:rsidRPr="008F2A32" w:rsidRDefault="006F42E2" w:rsidP="00E73515">
            <w:pPr>
              <w:pStyle w:val="ListParagraph"/>
              <w:spacing w:line="276" w:lineRule="auto"/>
              <w:ind w:left="0"/>
              <w:jc w:val="both"/>
              <w:rPr>
                <w:rFonts w:ascii="Cambria" w:hAnsi="Cambria"/>
                <w:sz w:val="18"/>
                <w:szCs w:val="18"/>
                <w:lang w:val="es-ES_tradnl"/>
              </w:rPr>
            </w:pPr>
          </w:p>
          <w:p w14:paraId="60802485" w14:textId="77777777" w:rsidR="00917366" w:rsidRPr="008F2A32" w:rsidRDefault="00917366" w:rsidP="00E73515">
            <w:pPr>
              <w:pStyle w:val="ListParagraph"/>
              <w:spacing w:line="276" w:lineRule="auto"/>
              <w:ind w:left="0"/>
              <w:jc w:val="both"/>
              <w:rPr>
                <w:rFonts w:ascii="Cambria" w:hAnsi="Cambria"/>
                <w:sz w:val="18"/>
                <w:szCs w:val="18"/>
                <w:lang w:val="es-ES_tradnl"/>
              </w:rPr>
            </w:pPr>
          </w:p>
          <w:p w14:paraId="463F29E8" w14:textId="2FCCD7D0" w:rsidR="00997768" w:rsidRPr="008F2A32" w:rsidRDefault="00997768" w:rsidP="00E73515">
            <w:pPr>
              <w:pStyle w:val="ListParagraph"/>
              <w:spacing w:line="276" w:lineRule="auto"/>
              <w:ind w:left="0"/>
              <w:jc w:val="both"/>
              <w:rPr>
                <w:rFonts w:ascii="Cambria" w:hAnsi="Cambria"/>
                <w:sz w:val="18"/>
                <w:szCs w:val="18"/>
                <w:lang w:val="es-ES_tradnl"/>
              </w:rPr>
            </w:pPr>
          </w:p>
        </w:tc>
      </w:tr>
      <w:tr w:rsidR="00917366" w:rsidRPr="008F2A32" w14:paraId="4387F216" w14:textId="77777777" w:rsidTr="00EF7072">
        <w:tc>
          <w:tcPr>
            <w:tcW w:w="9649" w:type="dxa"/>
            <w:gridSpan w:val="3"/>
            <w:shd w:val="clear" w:color="auto" w:fill="D9D9D9" w:themeFill="background1" w:themeFillShade="D9"/>
          </w:tcPr>
          <w:p w14:paraId="2E7C1DD7" w14:textId="77777777" w:rsidR="00997768" w:rsidRPr="008F2A32" w:rsidRDefault="00997768" w:rsidP="00E73515">
            <w:pPr>
              <w:spacing w:line="276" w:lineRule="auto"/>
              <w:jc w:val="both"/>
              <w:rPr>
                <w:rFonts w:ascii="Cambria" w:hAnsi="Cambria"/>
                <w:b/>
                <w:sz w:val="18"/>
                <w:szCs w:val="18"/>
              </w:rPr>
            </w:pPr>
          </w:p>
          <w:p w14:paraId="531221C8" w14:textId="73DE33F4" w:rsidR="00917366" w:rsidRPr="008F2A32" w:rsidRDefault="00917366" w:rsidP="00E73515">
            <w:pPr>
              <w:spacing w:line="276" w:lineRule="auto"/>
              <w:jc w:val="both"/>
              <w:rPr>
                <w:rFonts w:ascii="Cambria" w:hAnsi="Cambria"/>
                <w:b/>
                <w:sz w:val="18"/>
                <w:szCs w:val="18"/>
              </w:rPr>
            </w:pPr>
            <w:r w:rsidRPr="008F2A32">
              <w:rPr>
                <w:rFonts w:ascii="Cambria" w:hAnsi="Cambria"/>
                <w:b/>
                <w:sz w:val="18"/>
                <w:szCs w:val="18"/>
              </w:rPr>
              <w:t>Medidas relevantes de cumplimiento adoptadas en 2023:</w:t>
            </w:r>
          </w:p>
          <w:p w14:paraId="5B074E38" w14:textId="77777777" w:rsidR="00917366" w:rsidRPr="008F2A32" w:rsidRDefault="006F42E2" w:rsidP="00E73515">
            <w:pPr>
              <w:pStyle w:val="ListParagraph"/>
              <w:numPr>
                <w:ilvl w:val="0"/>
                <w:numId w:val="2"/>
              </w:numPr>
              <w:spacing w:line="276" w:lineRule="auto"/>
              <w:jc w:val="both"/>
              <w:rPr>
                <w:rFonts w:ascii="Cambria" w:hAnsi="Cambria"/>
                <w:b/>
                <w:sz w:val="18"/>
                <w:szCs w:val="18"/>
              </w:rPr>
            </w:pPr>
            <w:r w:rsidRPr="008F2A32">
              <w:rPr>
                <w:rFonts w:ascii="Cambria" w:hAnsi="Cambria"/>
                <w:sz w:val="18"/>
                <w:szCs w:val="18"/>
                <w:lang w:val="es-ES_tradnl"/>
              </w:rPr>
              <w:t>Las partes no proporcionaron información sobre medidas de cumplimiento.</w:t>
            </w:r>
          </w:p>
          <w:p w14:paraId="03EEC1FB" w14:textId="39B4755D" w:rsidR="00997768" w:rsidRPr="008F2A32" w:rsidRDefault="00997768" w:rsidP="00B7466B">
            <w:pPr>
              <w:pStyle w:val="ListParagraph"/>
              <w:spacing w:line="276" w:lineRule="auto"/>
              <w:ind w:left="360"/>
              <w:jc w:val="both"/>
              <w:rPr>
                <w:rFonts w:ascii="Cambria" w:hAnsi="Cambria"/>
                <w:b/>
                <w:sz w:val="18"/>
                <w:szCs w:val="18"/>
              </w:rPr>
            </w:pPr>
          </w:p>
        </w:tc>
      </w:tr>
    </w:tbl>
    <w:p w14:paraId="3B7B4B86" w14:textId="77777777" w:rsidR="00917366" w:rsidRPr="007C674E" w:rsidRDefault="00917366" w:rsidP="00917366">
      <w:pPr>
        <w:spacing w:after="0" w:line="276" w:lineRule="auto"/>
        <w:jc w:val="both"/>
        <w:rPr>
          <w:rFonts w:ascii="Cambria" w:hAnsi="Cambria"/>
          <w:b/>
          <w:sz w:val="20"/>
          <w:szCs w:val="20"/>
        </w:rPr>
      </w:pPr>
    </w:p>
    <w:p w14:paraId="69E4AA44" w14:textId="77777777" w:rsidR="00917366" w:rsidRPr="007C674E" w:rsidRDefault="003960C4" w:rsidP="003960C4">
      <w:pPr>
        <w:pStyle w:val="ListParagraph"/>
        <w:numPr>
          <w:ilvl w:val="0"/>
          <w:numId w:val="3"/>
        </w:numPr>
        <w:spacing w:after="0" w:line="276" w:lineRule="auto"/>
        <w:jc w:val="both"/>
        <w:rPr>
          <w:rFonts w:ascii="Cambria" w:hAnsi="Cambria"/>
          <w:b/>
          <w:sz w:val="20"/>
          <w:szCs w:val="20"/>
        </w:rPr>
      </w:pPr>
      <w:r w:rsidRPr="007C674E">
        <w:rPr>
          <w:rFonts w:ascii="Cambria" w:hAnsi="Cambria"/>
          <w:b/>
          <w:sz w:val="20"/>
          <w:szCs w:val="20"/>
        </w:rPr>
        <w:t>Tercera recomendación</w:t>
      </w:r>
    </w:p>
    <w:p w14:paraId="3A0FF5F2" w14:textId="77777777" w:rsidR="003960C4" w:rsidRPr="007C674E" w:rsidRDefault="003960C4" w:rsidP="003960C4">
      <w:pPr>
        <w:spacing w:after="0" w:line="276" w:lineRule="auto"/>
        <w:jc w:val="both"/>
        <w:rPr>
          <w:rFonts w:ascii="Cambria" w:hAnsi="Cambria"/>
          <w:b/>
          <w:sz w:val="20"/>
          <w:szCs w:val="20"/>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2250"/>
        <w:gridCol w:w="2340"/>
      </w:tblGrid>
      <w:tr w:rsidR="003960C4" w:rsidRPr="008F2A32" w14:paraId="349E138D" w14:textId="77777777" w:rsidTr="00EF7072">
        <w:tc>
          <w:tcPr>
            <w:tcW w:w="7309" w:type="dxa"/>
            <w:gridSpan w:val="2"/>
            <w:shd w:val="clear" w:color="auto" w:fill="B4C6E7" w:themeFill="accent5" w:themeFillTint="66"/>
          </w:tcPr>
          <w:p w14:paraId="66357941" w14:textId="77777777" w:rsidR="003960C4" w:rsidRPr="008F2A32" w:rsidRDefault="003960C4" w:rsidP="00E73515">
            <w:pPr>
              <w:pStyle w:val="ListParagraph"/>
              <w:spacing w:line="276" w:lineRule="auto"/>
              <w:ind w:left="0"/>
              <w:jc w:val="both"/>
              <w:rPr>
                <w:rFonts w:ascii="Cambria" w:hAnsi="Cambria"/>
                <w:b/>
                <w:bCs/>
                <w:sz w:val="18"/>
                <w:szCs w:val="18"/>
              </w:rPr>
            </w:pPr>
            <w:r w:rsidRPr="008F2A32">
              <w:rPr>
                <w:rFonts w:ascii="Cambria" w:hAnsi="Cambria"/>
                <w:b/>
                <w:bCs/>
                <w:sz w:val="18"/>
                <w:szCs w:val="18"/>
              </w:rPr>
              <w:t xml:space="preserve">Recomendación 3. </w:t>
            </w:r>
            <w:r w:rsidRPr="008F2A32">
              <w:rPr>
                <w:rFonts w:ascii="Cambria" w:eastAsia="Times New Roman" w:hAnsi="Cambria" w:cs="Times New Roman"/>
                <w:b/>
                <w:color w:val="000000" w:themeColor="text1"/>
                <w:sz w:val="18"/>
                <w:szCs w:val="18"/>
                <w:lang w:val="es-ES"/>
              </w:rPr>
              <w:t>Disponer las medidas administrativas, disciplinarias o penales correspondientes frente a las acciones u omisiones de los funcionarios estatales que contribuyeron a la denegación de justicia e impunidad en la que se encuentran los hechos del caso.</w:t>
            </w:r>
          </w:p>
        </w:tc>
        <w:tc>
          <w:tcPr>
            <w:tcW w:w="2340" w:type="dxa"/>
            <w:shd w:val="clear" w:color="auto" w:fill="B4C6E7" w:themeFill="accent5" w:themeFillTint="66"/>
          </w:tcPr>
          <w:p w14:paraId="0DD313BA" w14:textId="77777777" w:rsidR="003960C4" w:rsidRPr="008F2A32" w:rsidRDefault="003960C4" w:rsidP="00E73515">
            <w:pPr>
              <w:spacing w:line="276" w:lineRule="auto"/>
              <w:jc w:val="center"/>
              <w:rPr>
                <w:rFonts w:ascii="Cambria" w:hAnsi="Cambria"/>
                <w:b/>
                <w:bCs/>
                <w:sz w:val="18"/>
                <w:szCs w:val="18"/>
                <w:lang w:val="es-ES"/>
              </w:rPr>
            </w:pPr>
            <w:r w:rsidRPr="008F2A32">
              <w:rPr>
                <w:rFonts w:ascii="Cambria" w:hAnsi="Cambria"/>
                <w:b/>
                <w:bCs/>
                <w:sz w:val="18"/>
                <w:szCs w:val="18"/>
                <w:lang w:val="es-ES"/>
              </w:rPr>
              <w:t xml:space="preserve">Cumplimiento Parcial </w:t>
            </w:r>
          </w:p>
          <w:p w14:paraId="5630AD66" w14:textId="77777777" w:rsidR="003960C4" w:rsidRPr="008F2A32" w:rsidRDefault="003960C4" w:rsidP="00E73515">
            <w:pPr>
              <w:pStyle w:val="ListParagraph"/>
              <w:spacing w:line="276" w:lineRule="auto"/>
              <w:ind w:left="0"/>
              <w:jc w:val="center"/>
              <w:rPr>
                <w:rFonts w:ascii="Cambria" w:hAnsi="Cambria"/>
                <w:b/>
                <w:bCs/>
                <w:sz w:val="18"/>
                <w:szCs w:val="18"/>
              </w:rPr>
            </w:pPr>
          </w:p>
        </w:tc>
      </w:tr>
      <w:tr w:rsidR="003960C4" w:rsidRPr="008F2A32" w14:paraId="4A0447D5" w14:textId="77777777" w:rsidTr="00EF7072">
        <w:tc>
          <w:tcPr>
            <w:tcW w:w="5059" w:type="dxa"/>
            <w:shd w:val="clear" w:color="auto" w:fill="F2F2F2" w:themeFill="background1" w:themeFillShade="F2"/>
          </w:tcPr>
          <w:p w14:paraId="61829076" w14:textId="77777777" w:rsidR="003960C4" w:rsidRPr="008F2A32" w:rsidRDefault="003960C4" w:rsidP="00E73515">
            <w:pPr>
              <w:spacing w:line="276" w:lineRule="auto"/>
              <w:jc w:val="both"/>
              <w:rPr>
                <w:rFonts w:ascii="Cambria" w:hAnsi="Cambria"/>
                <w:b/>
                <w:bCs/>
                <w:sz w:val="18"/>
                <w:szCs w:val="18"/>
              </w:rPr>
            </w:pPr>
          </w:p>
          <w:p w14:paraId="62B8AC0D" w14:textId="2693A1D3" w:rsidR="006F42E2" w:rsidRPr="008F2A32" w:rsidRDefault="003960C4" w:rsidP="006F42E2">
            <w:pPr>
              <w:spacing w:line="276" w:lineRule="auto"/>
              <w:jc w:val="both"/>
              <w:rPr>
                <w:rFonts w:ascii="Cambria" w:hAnsi="Cambria"/>
                <w:sz w:val="18"/>
                <w:szCs w:val="18"/>
                <w:lang w:val="es-ES"/>
              </w:rPr>
            </w:pPr>
            <w:r w:rsidRPr="008F2A32">
              <w:rPr>
                <w:rFonts w:ascii="Cambria" w:hAnsi="Cambria"/>
                <w:b/>
                <w:bCs/>
                <w:sz w:val="18"/>
                <w:szCs w:val="18"/>
              </w:rPr>
              <w:t>Información del Estado en 2023:</w:t>
            </w:r>
            <w:r w:rsidRPr="008F2A32">
              <w:rPr>
                <w:rFonts w:ascii="Cambria" w:hAnsi="Cambria"/>
                <w:sz w:val="18"/>
                <w:szCs w:val="18"/>
                <w:lang w:val="es-ES"/>
              </w:rPr>
              <w:t xml:space="preserve"> </w:t>
            </w:r>
            <w:r w:rsidR="006A0B04" w:rsidRPr="008F2A32">
              <w:rPr>
                <w:rFonts w:ascii="Cambria" w:hAnsi="Cambria"/>
                <w:sz w:val="18"/>
                <w:szCs w:val="18"/>
                <w:lang w:val="es-ES"/>
              </w:rPr>
              <w:t>No</w:t>
            </w:r>
            <w:r w:rsidR="006F42E2" w:rsidRPr="008F2A32">
              <w:rPr>
                <w:rFonts w:ascii="Cambria" w:hAnsi="Cambria"/>
                <w:sz w:val="18"/>
                <w:szCs w:val="18"/>
                <w:lang w:val="es-ES"/>
              </w:rPr>
              <w:t xml:space="preserve"> proporcionó información. </w:t>
            </w:r>
          </w:p>
          <w:p w14:paraId="3AE54CB5" w14:textId="61AD4B42" w:rsidR="00490877" w:rsidRPr="008F2A32" w:rsidRDefault="00490877" w:rsidP="00E73515">
            <w:pPr>
              <w:spacing w:line="276" w:lineRule="auto"/>
              <w:jc w:val="both"/>
              <w:rPr>
                <w:rFonts w:ascii="Cambria" w:hAnsi="Cambria"/>
                <w:sz w:val="18"/>
                <w:szCs w:val="18"/>
                <w:lang w:val="es-ES"/>
              </w:rPr>
            </w:pPr>
          </w:p>
          <w:p w14:paraId="1E4188D3" w14:textId="137FB36D" w:rsidR="003960C4" w:rsidRPr="008F2A32" w:rsidRDefault="003960C4" w:rsidP="006F42E2">
            <w:pPr>
              <w:spacing w:line="276" w:lineRule="auto"/>
              <w:jc w:val="both"/>
              <w:rPr>
                <w:rFonts w:ascii="Cambria" w:hAnsi="Cambria"/>
                <w:sz w:val="18"/>
                <w:szCs w:val="18"/>
                <w:lang w:val="es-ES"/>
              </w:rPr>
            </w:pPr>
            <w:r w:rsidRPr="008F2A32">
              <w:rPr>
                <w:rFonts w:ascii="Cambria" w:hAnsi="Cambria"/>
                <w:b/>
                <w:bCs/>
                <w:sz w:val="18"/>
                <w:szCs w:val="18"/>
                <w:lang w:val="es-ES"/>
              </w:rPr>
              <w:t>Información de la parte peticionaria en 2023:</w:t>
            </w:r>
            <w:r w:rsidRPr="008F2A32">
              <w:rPr>
                <w:rFonts w:ascii="Cambria" w:hAnsi="Cambria"/>
                <w:sz w:val="18"/>
                <w:szCs w:val="18"/>
                <w:lang w:val="es-ES"/>
              </w:rPr>
              <w:t xml:space="preserve"> </w:t>
            </w:r>
            <w:r w:rsidR="006F42E2" w:rsidRPr="008F2A32">
              <w:rPr>
                <w:rFonts w:ascii="Cambria" w:hAnsi="Cambria"/>
                <w:sz w:val="18"/>
                <w:szCs w:val="18"/>
                <w:lang w:val="es-ES"/>
              </w:rPr>
              <w:t xml:space="preserve">La parte peticionaria informó </w:t>
            </w:r>
            <w:r w:rsidR="004E757E" w:rsidRPr="008F2A32">
              <w:rPr>
                <w:rFonts w:ascii="Cambria" w:hAnsi="Cambria"/>
                <w:sz w:val="18"/>
                <w:szCs w:val="18"/>
                <w:lang w:val="es-ES"/>
              </w:rPr>
              <w:t>que la promulgación de la Ley "Naín Retamal" en abril de 2023, que modifica</w:t>
            </w:r>
            <w:r w:rsidR="006F42E2" w:rsidRPr="008F2A32">
              <w:rPr>
                <w:rFonts w:ascii="Cambria" w:hAnsi="Cambria"/>
                <w:sz w:val="18"/>
                <w:szCs w:val="18"/>
                <w:lang w:val="es-ES"/>
              </w:rPr>
              <w:t>ría</w:t>
            </w:r>
            <w:r w:rsidR="004E757E" w:rsidRPr="008F2A32">
              <w:rPr>
                <w:rFonts w:ascii="Cambria" w:hAnsi="Cambria"/>
                <w:sz w:val="18"/>
                <w:szCs w:val="18"/>
                <w:lang w:val="es-ES"/>
              </w:rPr>
              <w:t xml:space="preserve"> normas relacionadas con Carabineros de Chile, ha</w:t>
            </w:r>
            <w:r w:rsidR="006F42E2" w:rsidRPr="008F2A32">
              <w:rPr>
                <w:rFonts w:ascii="Cambria" w:hAnsi="Cambria"/>
                <w:sz w:val="18"/>
                <w:szCs w:val="18"/>
                <w:lang w:val="es-ES"/>
              </w:rPr>
              <w:t>bría</w:t>
            </w:r>
            <w:r w:rsidR="004E757E" w:rsidRPr="008F2A32">
              <w:rPr>
                <w:rFonts w:ascii="Cambria" w:hAnsi="Cambria"/>
                <w:sz w:val="18"/>
                <w:szCs w:val="18"/>
                <w:lang w:val="es-ES"/>
              </w:rPr>
              <w:t xml:space="preserve"> generado preocupación y críticas debido a sus implicaciones en el uso de la fuerza y el cumplimiento de las obligaciones internacionales de Chile en materia de derechos humanos. Esta ley ha</w:t>
            </w:r>
            <w:r w:rsidR="006F42E2" w:rsidRPr="008F2A32">
              <w:rPr>
                <w:rFonts w:ascii="Cambria" w:hAnsi="Cambria"/>
                <w:sz w:val="18"/>
                <w:szCs w:val="18"/>
                <w:lang w:val="es-ES"/>
              </w:rPr>
              <w:t>bría</w:t>
            </w:r>
            <w:r w:rsidR="004E757E" w:rsidRPr="008F2A32">
              <w:rPr>
                <w:rFonts w:ascii="Cambria" w:hAnsi="Cambria"/>
                <w:sz w:val="18"/>
                <w:szCs w:val="18"/>
                <w:lang w:val="es-ES"/>
              </w:rPr>
              <w:t xml:space="preserve"> llevado a solicitudes de revisión de sentencia y pena que podrían resultar en la reducción de condenas </w:t>
            </w:r>
            <w:r w:rsidR="00C743B9" w:rsidRPr="008F2A32">
              <w:rPr>
                <w:rFonts w:ascii="Cambria" w:hAnsi="Cambria"/>
                <w:sz w:val="18"/>
                <w:szCs w:val="18"/>
                <w:lang w:val="es-ES"/>
              </w:rPr>
              <w:t>e</w:t>
            </w:r>
            <w:r w:rsidR="004E757E" w:rsidRPr="008F2A32">
              <w:rPr>
                <w:rFonts w:ascii="Cambria" w:hAnsi="Cambria"/>
                <w:sz w:val="18"/>
                <w:szCs w:val="18"/>
                <w:lang w:val="es-ES"/>
              </w:rPr>
              <w:t xml:space="preserve"> impunidad de los hechos. A pesar de la solicitud de participación en una audiencia, no se ha</w:t>
            </w:r>
            <w:r w:rsidR="006F42E2" w:rsidRPr="008F2A32">
              <w:rPr>
                <w:rFonts w:ascii="Cambria" w:hAnsi="Cambria"/>
                <w:sz w:val="18"/>
                <w:szCs w:val="18"/>
                <w:lang w:val="es-ES"/>
              </w:rPr>
              <w:t>bría</w:t>
            </w:r>
            <w:r w:rsidR="004E757E" w:rsidRPr="008F2A32">
              <w:rPr>
                <w:rFonts w:ascii="Cambria" w:hAnsi="Cambria"/>
                <w:sz w:val="18"/>
                <w:szCs w:val="18"/>
                <w:lang w:val="es-ES"/>
              </w:rPr>
              <w:t xml:space="preserve"> recibi</w:t>
            </w:r>
            <w:r w:rsidR="006F42E2" w:rsidRPr="008F2A32">
              <w:rPr>
                <w:rFonts w:ascii="Cambria" w:hAnsi="Cambria"/>
                <w:sz w:val="18"/>
                <w:szCs w:val="18"/>
                <w:lang w:val="es-ES"/>
              </w:rPr>
              <w:t>do</w:t>
            </w:r>
            <w:r w:rsidR="004E757E" w:rsidRPr="008F2A32">
              <w:rPr>
                <w:rFonts w:ascii="Cambria" w:hAnsi="Cambria"/>
                <w:sz w:val="18"/>
                <w:szCs w:val="18"/>
                <w:lang w:val="es-ES"/>
              </w:rPr>
              <w:t xml:space="preserve"> respuesta por parte del Tribunal de Angol, y la audiencia ha</w:t>
            </w:r>
            <w:r w:rsidR="009C5E56" w:rsidRPr="008F2A32">
              <w:rPr>
                <w:rFonts w:ascii="Cambria" w:hAnsi="Cambria"/>
                <w:sz w:val="18"/>
                <w:szCs w:val="18"/>
                <w:lang w:val="es-ES"/>
              </w:rPr>
              <w:t>bría</w:t>
            </w:r>
            <w:r w:rsidR="004E757E" w:rsidRPr="008F2A32">
              <w:rPr>
                <w:rFonts w:ascii="Cambria" w:hAnsi="Cambria"/>
                <w:sz w:val="18"/>
                <w:szCs w:val="18"/>
                <w:lang w:val="es-ES"/>
              </w:rPr>
              <w:t xml:space="preserve"> sido suspendida debido a la falta de documentación por parte de la defensa.</w:t>
            </w:r>
          </w:p>
          <w:p w14:paraId="663E65E3" w14:textId="5C9A15C2" w:rsidR="009C5E56" w:rsidRPr="008F2A32" w:rsidRDefault="009C5E56" w:rsidP="006F42E2">
            <w:pPr>
              <w:spacing w:line="276" w:lineRule="auto"/>
              <w:jc w:val="both"/>
              <w:rPr>
                <w:rFonts w:ascii="Cambria" w:hAnsi="Cambria"/>
                <w:sz w:val="18"/>
                <w:szCs w:val="18"/>
              </w:rPr>
            </w:pPr>
          </w:p>
        </w:tc>
        <w:tc>
          <w:tcPr>
            <w:tcW w:w="4590" w:type="dxa"/>
            <w:gridSpan w:val="2"/>
            <w:shd w:val="clear" w:color="auto" w:fill="F2F2F2" w:themeFill="background1" w:themeFillShade="F2"/>
          </w:tcPr>
          <w:p w14:paraId="17AD93B2" w14:textId="77777777" w:rsidR="003960C4" w:rsidRPr="008F2A32" w:rsidRDefault="003960C4" w:rsidP="00E73515">
            <w:pPr>
              <w:pStyle w:val="ListParagraph"/>
              <w:spacing w:line="276" w:lineRule="auto"/>
              <w:ind w:left="0"/>
              <w:jc w:val="both"/>
              <w:rPr>
                <w:rFonts w:ascii="Cambria" w:hAnsi="Cambria"/>
                <w:b/>
                <w:sz w:val="18"/>
                <w:szCs w:val="18"/>
                <w:lang w:val="es-ES_tradnl"/>
              </w:rPr>
            </w:pPr>
          </w:p>
          <w:p w14:paraId="3FF7A703" w14:textId="3CEF9EF9" w:rsidR="006F42E2" w:rsidRPr="008F2A32" w:rsidRDefault="003960C4" w:rsidP="006F42E2">
            <w:pPr>
              <w:pStyle w:val="ListParagraph"/>
              <w:spacing w:line="276" w:lineRule="auto"/>
              <w:ind w:left="0"/>
              <w:jc w:val="both"/>
              <w:rPr>
                <w:rFonts w:ascii="Cambria" w:hAnsi="Cambria"/>
                <w:sz w:val="18"/>
                <w:szCs w:val="18"/>
                <w:lang w:val="es-ES_tradnl"/>
              </w:rPr>
            </w:pPr>
            <w:r w:rsidRPr="008F2A32">
              <w:rPr>
                <w:rFonts w:ascii="Cambria" w:hAnsi="Cambria"/>
                <w:b/>
                <w:sz w:val="18"/>
                <w:szCs w:val="18"/>
                <w:lang w:val="es-ES_tradnl"/>
              </w:rPr>
              <w:t>Análisis de cumplimiento:</w:t>
            </w:r>
            <w:r w:rsidR="00F66440" w:rsidRPr="008F2A32">
              <w:rPr>
                <w:rFonts w:ascii="Cambria" w:hAnsi="Cambria"/>
                <w:sz w:val="18"/>
                <w:szCs w:val="18"/>
                <w:lang w:val="es-ES_tradnl"/>
              </w:rPr>
              <w:t xml:space="preserve"> La Comisión toma nota de la información proporcionada por la parte peticionaria con respecto a su preocupación por las iniciativas de ley relacionadas con el uso de la fuerza</w:t>
            </w:r>
            <w:r w:rsidR="006F42E2" w:rsidRPr="008F2A32">
              <w:rPr>
                <w:rFonts w:ascii="Cambria" w:hAnsi="Cambria"/>
                <w:sz w:val="18"/>
                <w:szCs w:val="18"/>
                <w:lang w:val="es-ES_tradnl"/>
              </w:rPr>
              <w:t xml:space="preserve">. </w:t>
            </w:r>
            <w:r w:rsidR="008F2A32">
              <w:rPr>
                <w:rFonts w:ascii="Cambria" w:hAnsi="Cambria"/>
                <w:sz w:val="18"/>
                <w:szCs w:val="18"/>
                <w:lang w:val="es-ES_tradnl"/>
              </w:rPr>
              <w:t>La CIDH observa que el Estado no presentó información sobre las medidas para avanzar con el cumplimiento de la recomendación, por lo que permanecería</w:t>
            </w:r>
            <w:r w:rsidR="006F42E2" w:rsidRPr="008F2A32">
              <w:rPr>
                <w:rFonts w:ascii="Cambria" w:hAnsi="Cambria"/>
                <w:sz w:val="18"/>
                <w:szCs w:val="18"/>
                <w:lang w:val="es-ES_tradnl"/>
              </w:rPr>
              <w:t xml:space="preserve"> </w:t>
            </w:r>
            <w:r w:rsidR="006F42E2" w:rsidRPr="008F2A32">
              <w:rPr>
                <w:rFonts w:ascii="Cambria" w:hAnsi="Cambria"/>
                <w:b/>
                <w:bCs/>
                <w:sz w:val="18"/>
                <w:szCs w:val="18"/>
                <w:lang w:val="es-ES_tradnl"/>
              </w:rPr>
              <w:t>parcialmente cumplida.</w:t>
            </w:r>
            <w:r w:rsidR="008F2A32">
              <w:rPr>
                <w:rFonts w:ascii="Cambria" w:hAnsi="Cambria"/>
                <w:b/>
                <w:bCs/>
                <w:sz w:val="18"/>
                <w:szCs w:val="18"/>
                <w:lang w:val="es-ES_tradnl"/>
              </w:rPr>
              <w:t xml:space="preserve"> </w:t>
            </w:r>
            <w:r w:rsidR="008F2A32">
              <w:rPr>
                <w:rFonts w:ascii="Cambria" w:hAnsi="Cambria"/>
                <w:sz w:val="18"/>
                <w:szCs w:val="18"/>
                <w:lang w:val="es-ES_tradnl"/>
              </w:rPr>
              <w:t>Para avanzar con su cumplimiento, la Comisión invita al Estado a proporcionar información actualizada sobre los procesos iniciados para sancionar a los funcionarios que obstaculizaron el acceso a la justicia de las víctimas.</w:t>
            </w:r>
          </w:p>
          <w:p w14:paraId="0DE4B5B7" w14:textId="151FD13C" w:rsidR="006F42E2" w:rsidRPr="008F2A32" w:rsidRDefault="006F42E2" w:rsidP="00F66440">
            <w:pPr>
              <w:pStyle w:val="ListParagraph"/>
              <w:spacing w:line="276" w:lineRule="auto"/>
              <w:ind w:left="0"/>
              <w:jc w:val="both"/>
              <w:rPr>
                <w:rFonts w:ascii="Cambria" w:hAnsi="Cambria"/>
                <w:sz w:val="18"/>
                <w:szCs w:val="18"/>
                <w:lang w:val="es-ES_tradnl"/>
              </w:rPr>
            </w:pPr>
          </w:p>
        </w:tc>
      </w:tr>
      <w:tr w:rsidR="003960C4" w:rsidRPr="008F2A32" w14:paraId="1958F885" w14:textId="77777777" w:rsidTr="00EF7072">
        <w:tc>
          <w:tcPr>
            <w:tcW w:w="9649" w:type="dxa"/>
            <w:gridSpan w:val="3"/>
            <w:shd w:val="clear" w:color="auto" w:fill="D9D9D9" w:themeFill="background1" w:themeFillShade="D9"/>
          </w:tcPr>
          <w:p w14:paraId="19C03CAB" w14:textId="77777777" w:rsidR="009C5E56" w:rsidRPr="008F2A32" w:rsidRDefault="009C5E56" w:rsidP="00E73515">
            <w:pPr>
              <w:spacing w:line="276" w:lineRule="auto"/>
              <w:jc w:val="both"/>
              <w:rPr>
                <w:rFonts w:ascii="Cambria" w:hAnsi="Cambria"/>
                <w:b/>
                <w:sz w:val="18"/>
                <w:szCs w:val="18"/>
              </w:rPr>
            </w:pPr>
          </w:p>
          <w:p w14:paraId="3210AB5A" w14:textId="01439BE4" w:rsidR="003960C4" w:rsidRPr="008F2A32" w:rsidRDefault="003960C4" w:rsidP="00E73515">
            <w:pPr>
              <w:spacing w:line="276" w:lineRule="auto"/>
              <w:jc w:val="both"/>
              <w:rPr>
                <w:rFonts w:ascii="Cambria" w:hAnsi="Cambria"/>
                <w:b/>
                <w:sz w:val="18"/>
                <w:szCs w:val="18"/>
              </w:rPr>
            </w:pPr>
            <w:r w:rsidRPr="008F2A32">
              <w:rPr>
                <w:rFonts w:ascii="Cambria" w:hAnsi="Cambria"/>
                <w:b/>
                <w:sz w:val="18"/>
                <w:szCs w:val="18"/>
              </w:rPr>
              <w:t>Medidas relevantes de cumplimiento adoptadas en 2023:</w:t>
            </w:r>
          </w:p>
          <w:p w14:paraId="71DDF9DC" w14:textId="77777777" w:rsidR="003960C4" w:rsidRPr="008F2A32" w:rsidRDefault="006F42E2" w:rsidP="00E73515">
            <w:pPr>
              <w:pStyle w:val="ListParagraph"/>
              <w:numPr>
                <w:ilvl w:val="0"/>
                <w:numId w:val="2"/>
              </w:numPr>
              <w:spacing w:line="276" w:lineRule="auto"/>
              <w:jc w:val="both"/>
              <w:rPr>
                <w:rFonts w:ascii="Cambria" w:hAnsi="Cambria"/>
                <w:b/>
                <w:sz w:val="18"/>
                <w:szCs w:val="18"/>
              </w:rPr>
            </w:pPr>
            <w:r w:rsidRPr="008F2A32">
              <w:rPr>
                <w:rFonts w:ascii="Cambria" w:hAnsi="Cambria"/>
                <w:sz w:val="18"/>
                <w:szCs w:val="18"/>
                <w:lang w:val="es-ES_tradnl"/>
              </w:rPr>
              <w:t>Las partes no proporcionaron información sobre medidas de cumplimiento.</w:t>
            </w:r>
          </w:p>
          <w:p w14:paraId="127BDA8C" w14:textId="50A1FFC5" w:rsidR="009C5E56" w:rsidRPr="008F2A32" w:rsidRDefault="009C5E56" w:rsidP="009C5E56">
            <w:pPr>
              <w:pStyle w:val="ListParagraph"/>
              <w:spacing w:line="276" w:lineRule="auto"/>
              <w:ind w:left="360"/>
              <w:jc w:val="both"/>
              <w:rPr>
                <w:rFonts w:ascii="Cambria" w:hAnsi="Cambria"/>
                <w:b/>
                <w:sz w:val="18"/>
                <w:szCs w:val="18"/>
              </w:rPr>
            </w:pPr>
          </w:p>
        </w:tc>
      </w:tr>
    </w:tbl>
    <w:p w14:paraId="66204FF1" w14:textId="77777777" w:rsidR="003960C4" w:rsidRDefault="003960C4" w:rsidP="003960C4">
      <w:pPr>
        <w:spacing w:after="0" w:line="276" w:lineRule="auto"/>
        <w:jc w:val="both"/>
        <w:rPr>
          <w:rFonts w:ascii="Cambria" w:hAnsi="Cambria"/>
          <w:b/>
          <w:sz w:val="20"/>
          <w:szCs w:val="20"/>
        </w:rPr>
      </w:pPr>
    </w:p>
    <w:p w14:paraId="2A49CA7D" w14:textId="77777777" w:rsidR="002C29A8" w:rsidRDefault="002C29A8" w:rsidP="003960C4">
      <w:pPr>
        <w:spacing w:after="0" w:line="276" w:lineRule="auto"/>
        <w:jc w:val="both"/>
        <w:rPr>
          <w:rFonts w:ascii="Cambria" w:hAnsi="Cambria"/>
          <w:b/>
          <w:sz w:val="20"/>
          <w:szCs w:val="20"/>
        </w:rPr>
      </w:pPr>
    </w:p>
    <w:p w14:paraId="0985A683" w14:textId="77777777" w:rsidR="002C29A8" w:rsidRDefault="002C29A8" w:rsidP="003960C4">
      <w:pPr>
        <w:spacing w:after="0" w:line="276" w:lineRule="auto"/>
        <w:jc w:val="both"/>
        <w:rPr>
          <w:rFonts w:ascii="Cambria" w:hAnsi="Cambria"/>
          <w:b/>
          <w:sz w:val="20"/>
          <w:szCs w:val="20"/>
        </w:rPr>
      </w:pPr>
    </w:p>
    <w:p w14:paraId="42B88B89" w14:textId="77777777" w:rsidR="002C29A8" w:rsidRPr="007C674E" w:rsidRDefault="002C29A8" w:rsidP="003960C4">
      <w:pPr>
        <w:spacing w:after="0" w:line="276" w:lineRule="auto"/>
        <w:jc w:val="both"/>
        <w:rPr>
          <w:rFonts w:ascii="Cambria" w:hAnsi="Cambria"/>
          <w:b/>
          <w:sz w:val="20"/>
          <w:szCs w:val="20"/>
        </w:rPr>
      </w:pPr>
    </w:p>
    <w:p w14:paraId="75F54CA5" w14:textId="77777777" w:rsidR="00917366" w:rsidRPr="007C674E" w:rsidRDefault="003960C4" w:rsidP="003960C4">
      <w:pPr>
        <w:pStyle w:val="ListParagraph"/>
        <w:numPr>
          <w:ilvl w:val="0"/>
          <w:numId w:val="3"/>
        </w:numPr>
        <w:spacing w:after="0" w:line="276" w:lineRule="auto"/>
        <w:jc w:val="both"/>
        <w:rPr>
          <w:rFonts w:ascii="Cambria" w:hAnsi="Cambria"/>
          <w:b/>
          <w:sz w:val="20"/>
          <w:szCs w:val="20"/>
        </w:rPr>
      </w:pPr>
      <w:r w:rsidRPr="007C674E">
        <w:rPr>
          <w:rFonts w:ascii="Cambria" w:hAnsi="Cambria"/>
          <w:b/>
          <w:sz w:val="20"/>
          <w:szCs w:val="20"/>
        </w:rPr>
        <w:t>Cuarta recomendación</w:t>
      </w:r>
    </w:p>
    <w:p w14:paraId="2DBF0D7D" w14:textId="77777777" w:rsidR="003960C4" w:rsidRPr="007C674E" w:rsidRDefault="003960C4" w:rsidP="003960C4">
      <w:pPr>
        <w:pStyle w:val="ListParagraph"/>
        <w:spacing w:after="0" w:line="276" w:lineRule="auto"/>
        <w:ind w:left="360"/>
        <w:jc w:val="both"/>
        <w:rPr>
          <w:rFonts w:ascii="Cambria" w:hAnsi="Cambria"/>
          <w:b/>
          <w:sz w:val="20"/>
          <w:szCs w:val="20"/>
        </w:rPr>
      </w:pPr>
    </w:p>
    <w:tbl>
      <w:tblPr>
        <w:tblStyle w:val="TableGrid"/>
        <w:tblW w:w="96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2250"/>
        <w:gridCol w:w="2340"/>
      </w:tblGrid>
      <w:tr w:rsidR="003960C4" w:rsidRPr="008F2A32" w14:paraId="6E41FEEE" w14:textId="77777777" w:rsidTr="00EF7072">
        <w:tc>
          <w:tcPr>
            <w:tcW w:w="7309" w:type="dxa"/>
            <w:gridSpan w:val="2"/>
            <w:shd w:val="clear" w:color="auto" w:fill="B4C6E7" w:themeFill="accent5" w:themeFillTint="66"/>
          </w:tcPr>
          <w:p w14:paraId="6B62F1B3" w14:textId="77777777" w:rsidR="003960C4" w:rsidRPr="008F2A32" w:rsidRDefault="003960C4" w:rsidP="00E73515">
            <w:pPr>
              <w:pStyle w:val="ListParagraph"/>
              <w:spacing w:line="276" w:lineRule="auto"/>
              <w:ind w:left="0"/>
              <w:jc w:val="both"/>
              <w:rPr>
                <w:rFonts w:ascii="Cambria" w:hAnsi="Cambria"/>
                <w:b/>
                <w:bCs/>
                <w:sz w:val="18"/>
                <w:szCs w:val="18"/>
              </w:rPr>
            </w:pPr>
          </w:p>
          <w:p w14:paraId="619381C7" w14:textId="77777777" w:rsidR="003960C4" w:rsidRPr="008F2A32" w:rsidRDefault="003960C4" w:rsidP="00E73515">
            <w:pPr>
              <w:pStyle w:val="ListParagraph"/>
              <w:spacing w:line="276" w:lineRule="auto"/>
              <w:ind w:left="0"/>
              <w:jc w:val="both"/>
              <w:rPr>
                <w:rFonts w:ascii="Cambria" w:hAnsi="Cambria"/>
                <w:b/>
                <w:bCs/>
                <w:sz w:val="18"/>
                <w:szCs w:val="18"/>
              </w:rPr>
            </w:pPr>
            <w:r w:rsidRPr="008F2A32">
              <w:rPr>
                <w:rFonts w:ascii="Cambria" w:hAnsi="Cambria"/>
                <w:b/>
                <w:bCs/>
                <w:sz w:val="18"/>
                <w:szCs w:val="18"/>
              </w:rPr>
              <w:t xml:space="preserve">Recomendación 4. </w:t>
            </w:r>
            <w:r w:rsidRPr="008F2A32">
              <w:rPr>
                <w:rFonts w:ascii="Cambria" w:eastAsia="Times New Roman" w:hAnsi="Cambria" w:cs="Times New Roman"/>
                <w:b/>
                <w:color w:val="000000" w:themeColor="text1"/>
                <w:sz w:val="18"/>
                <w:szCs w:val="18"/>
                <w:lang w:val="es-ES"/>
              </w:rPr>
              <w:t>Adoptar medidas de no repetición que incluyan medidas legislativas, administrativas y de cualquier otra índole con la finalidad de: i) Prevenir el uso excesivo de la fuerza por parte de Carabineros en el marco de las reivindicaciones territoriales de los pueblos indígenas, particularmente el pueblo mapuche, incluyendo medidas de capacitación, coordinación y supervisión, así como el establecimiento de mecanismos idóneos de rendición de cuentas; y ii) Asegurar que la justicia penal militar no pueda conocer, bajo ninguna circunstancia, de casos de violaciones de derechos humanos, incluyendo hechos como los del presente caso.</w:t>
            </w:r>
          </w:p>
        </w:tc>
        <w:tc>
          <w:tcPr>
            <w:tcW w:w="2340" w:type="dxa"/>
            <w:shd w:val="clear" w:color="auto" w:fill="B4C6E7" w:themeFill="accent5" w:themeFillTint="66"/>
          </w:tcPr>
          <w:p w14:paraId="02F2C34E" w14:textId="77777777" w:rsidR="003960C4" w:rsidRPr="008F2A32" w:rsidRDefault="003960C4" w:rsidP="00E73515">
            <w:pPr>
              <w:spacing w:line="276" w:lineRule="auto"/>
              <w:jc w:val="center"/>
              <w:rPr>
                <w:rFonts w:ascii="Cambria" w:hAnsi="Cambria"/>
                <w:b/>
                <w:bCs/>
                <w:sz w:val="18"/>
                <w:szCs w:val="18"/>
                <w:lang w:val="es-ES"/>
              </w:rPr>
            </w:pPr>
          </w:p>
          <w:p w14:paraId="188B1999" w14:textId="77777777" w:rsidR="003960C4" w:rsidRPr="008F2A32" w:rsidRDefault="003960C4" w:rsidP="00E73515">
            <w:pPr>
              <w:spacing w:line="276" w:lineRule="auto"/>
              <w:jc w:val="center"/>
              <w:rPr>
                <w:rFonts w:ascii="Cambria" w:hAnsi="Cambria"/>
                <w:b/>
                <w:bCs/>
                <w:sz w:val="18"/>
                <w:szCs w:val="18"/>
                <w:lang w:val="es-ES"/>
              </w:rPr>
            </w:pPr>
            <w:r w:rsidRPr="008F2A32">
              <w:rPr>
                <w:rFonts w:ascii="Cambria" w:hAnsi="Cambria"/>
                <w:b/>
                <w:bCs/>
                <w:sz w:val="18"/>
                <w:szCs w:val="18"/>
                <w:lang w:val="es-ES"/>
              </w:rPr>
              <w:t>Cumplimiento Parcial Sustancial</w:t>
            </w:r>
          </w:p>
          <w:p w14:paraId="680A4E5D" w14:textId="77777777" w:rsidR="003960C4" w:rsidRPr="008F2A32" w:rsidRDefault="003960C4" w:rsidP="00E73515">
            <w:pPr>
              <w:pStyle w:val="ListParagraph"/>
              <w:spacing w:line="276" w:lineRule="auto"/>
              <w:ind w:left="0"/>
              <w:jc w:val="center"/>
              <w:rPr>
                <w:rFonts w:ascii="Cambria" w:hAnsi="Cambria"/>
                <w:b/>
                <w:bCs/>
                <w:sz w:val="18"/>
                <w:szCs w:val="18"/>
              </w:rPr>
            </w:pPr>
          </w:p>
        </w:tc>
      </w:tr>
      <w:tr w:rsidR="003960C4" w:rsidRPr="008F2A32" w14:paraId="415F9DA3" w14:textId="77777777" w:rsidTr="00EF7072">
        <w:tc>
          <w:tcPr>
            <w:tcW w:w="7309" w:type="dxa"/>
            <w:gridSpan w:val="2"/>
            <w:shd w:val="clear" w:color="auto" w:fill="D9E2F3" w:themeFill="accent5" w:themeFillTint="33"/>
          </w:tcPr>
          <w:p w14:paraId="19219836" w14:textId="77777777" w:rsidR="003960C4" w:rsidRPr="008F2A32" w:rsidRDefault="003960C4" w:rsidP="00E73515">
            <w:pPr>
              <w:spacing w:line="276" w:lineRule="auto"/>
              <w:jc w:val="both"/>
              <w:rPr>
                <w:rFonts w:ascii="Cambria" w:hAnsi="Cambria"/>
                <w:b/>
                <w:bCs/>
                <w:sz w:val="18"/>
                <w:szCs w:val="18"/>
              </w:rPr>
            </w:pPr>
          </w:p>
          <w:p w14:paraId="145F2853" w14:textId="77777777" w:rsidR="003960C4" w:rsidRPr="008F2A32" w:rsidRDefault="003960C4" w:rsidP="00E73515">
            <w:pPr>
              <w:spacing w:line="276" w:lineRule="auto"/>
              <w:jc w:val="both"/>
              <w:rPr>
                <w:rFonts w:ascii="Cambria" w:hAnsi="Cambria"/>
                <w:sz w:val="18"/>
                <w:szCs w:val="18"/>
              </w:rPr>
            </w:pPr>
            <w:r w:rsidRPr="008F2A32">
              <w:rPr>
                <w:rFonts w:ascii="Cambria" w:hAnsi="Cambria"/>
                <w:b/>
                <w:bCs/>
                <w:sz w:val="18"/>
                <w:szCs w:val="18"/>
              </w:rPr>
              <w:t>Cláusula A del Acuerdo de Cumplimiento</w:t>
            </w:r>
            <w:r w:rsidRPr="008F2A32">
              <w:rPr>
                <w:rFonts w:ascii="Cambria" w:hAnsi="Cambria"/>
                <w:sz w:val="18"/>
                <w:szCs w:val="18"/>
              </w:rPr>
              <w:t>. Aprobar Decreto Presidencial con lineamientos generales sobre el uso de la fuerza policial.</w:t>
            </w:r>
          </w:p>
          <w:p w14:paraId="296FEF7D" w14:textId="77777777" w:rsidR="003960C4" w:rsidRPr="008F2A32" w:rsidRDefault="003960C4" w:rsidP="00E73515">
            <w:pPr>
              <w:spacing w:line="276" w:lineRule="auto"/>
              <w:jc w:val="both"/>
              <w:rPr>
                <w:rFonts w:ascii="Cambria" w:hAnsi="Cambria"/>
                <w:sz w:val="18"/>
                <w:szCs w:val="18"/>
              </w:rPr>
            </w:pPr>
          </w:p>
        </w:tc>
        <w:tc>
          <w:tcPr>
            <w:tcW w:w="2340" w:type="dxa"/>
            <w:shd w:val="clear" w:color="auto" w:fill="D9E2F3" w:themeFill="accent5" w:themeFillTint="33"/>
          </w:tcPr>
          <w:p w14:paraId="7194DBDC" w14:textId="77777777" w:rsidR="003960C4" w:rsidRPr="008F2A32" w:rsidRDefault="003960C4" w:rsidP="00E73515">
            <w:pPr>
              <w:pStyle w:val="ListParagraph"/>
              <w:spacing w:line="276" w:lineRule="auto"/>
              <w:ind w:left="0"/>
              <w:jc w:val="center"/>
              <w:rPr>
                <w:rFonts w:ascii="Cambria" w:hAnsi="Cambria"/>
                <w:sz w:val="18"/>
                <w:szCs w:val="18"/>
              </w:rPr>
            </w:pPr>
          </w:p>
          <w:p w14:paraId="1C6874D5" w14:textId="77777777" w:rsidR="003960C4" w:rsidRPr="008F2A32" w:rsidRDefault="003960C4" w:rsidP="00E73515">
            <w:pPr>
              <w:pStyle w:val="ListParagraph"/>
              <w:spacing w:line="276" w:lineRule="auto"/>
              <w:ind w:left="0"/>
              <w:jc w:val="center"/>
              <w:rPr>
                <w:rFonts w:ascii="Cambria" w:hAnsi="Cambria"/>
                <w:sz w:val="18"/>
                <w:szCs w:val="18"/>
              </w:rPr>
            </w:pPr>
            <w:r w:rsidRPr="008F2A32">
              <w:rPr>
                <w:rFonts w:ascii="Cambria" w:hAnsi="Cambria"/>
                <w:sz w:val="18"/>
                <w:szCs w:val="18"/>
              </w:rPr>
              <w:t>Cumplimiento Parcial Sustancial</w:t>
            </w:r>
          </w:p>
          <w:p w14:paraId="769D0D3C" w14:textId="77777777" w:rsidR="003960C4" w:rsidRPr="008F2A32" w:rsidRDefault="003960C4" w:rsidP="00E73515">
            <w:pPr>
              <w:pStyle w:val="ListParagraph"/>
              <w:spacing w:line="276" w:lineRule="auto"/>
              <w:ind w:left="0"/>
              <w:jc w:val="center"/>
              <w:rPr>
                <w:rFonts w:ascii="Cambria" w:hAnsi="Cambria"/>
                <w:sz w:val="18"/>
                <w:szCs w:val="18"/>
              </w:rPr>
            </w:pPr>
          </w:p>
        </w:tc>
      </w:tr>
      <w:tr w:rsidR="003960C4" w:rsidRPr="008F2A32" w14:paraId="2ADDB991" w14:textId="77777777" w:rsidTr="00EF7072">
        <w:tc>
          <w:tcPr>
            <w:tcW w:w="7309" w:type="dxa"/>
            <w:gridSpan w:val="2"/>
            <w:shd w:val="clear" w:color="auto" w:fill="D9E2F3" w:themeFill="accent5" w:themeFillTint="33"/>
          </w:tcPr>
          <w:p w14:paraId="693D898C" w14:textId="77777777" w:rsidR="003960C4" w:rsidRPr="008F2A32" w:rsidRDefault="003960C4" w:rsidP="00E73515">
            <w:pPr>
              <w:pStyle w:val="ListParagraph"/>
              <w:spacing w:line="276" w:lineRule="auto"/>
              <w:ind w:left="0"/>
              <w:jc w:val="both"/>
              <w:rPr>
                <w:rFonts w:ascii="Cambria" w:hAnsi="Cambria"/>
                <w:sz w:val="18"/>
                <w:szCs w:val="18"/>
              </w:rPr>
            </w:pPr>
            <w:r w:rsidRPr="008F2A32">
              <w:rPr>
                <w:rFonts w:ascii="Cambria" w:hAnsi="Cambria"/>
                <w:b/>
                <w:bCs/>
                <w:sz w:val="18"/>
                <w:szCs w:val="18"/>
              </w:rPr>
              <w:t xml:space="preserve">Cláusula B del Acuerdo de Cumplimiento. </w:t>
            </w:r>
            <w:r w:rsidRPr="008F2A32">
              <w:rPr>
                <w:rFonts w:ascii="Cambria" w:hAnsi="Cambria"/>
                <w:sz w:val="18"/>
                <w:szCs w:val="18"/>
              </w:rPr>
              <w:t>Capacitaciones, programa de capacitación en terreno a funcionarios de carabineros asignados en la Araucanía.</w:t>
            </w:r>
          </w:p>
          <w:p w14:paraId="54CD245A" w14:textId="77777777" w:rsidR="003960C4" w:rsidRPr="008F2A32" w:rsidRDefault="003960C4" w:rsidP="00E73515">
            <w:pPr>
              <w:pStyle w:val="ListParagraph"/>
              <w:spacing w:line="276" w:lineRule="auto"/>
              <w:ind w:left="0"/>
              <w:jc w:val="both"/>
              <w:rPr>
                <w:rFonts w:ascii="Cambria" w:hAnsi="Cambria"/>
                <w:sz w:val="18"/>
                <w:szCs w:val="18"/>
              </w:rPr>
            </w:pPr>
          </w:p>
        </w:tc>
        <w:tc>
          <w:tcPr>
            <w:tcW w:w="2340" w:type="dxa"/>
            <w:shd w:val="clear" w:color="auto" w:fill="D9E2F3" w:themeFill="accent5" w:themeFillTint="33"/>
          </w:tcPr>
          <w:p w14:paraId="79B38EB2" w14:textId="22F463B8" w:rsidR="003960C4" w:rsidRPr="008F2A32" w:rsidRDefault="003960C4" w:rsidP="00E73515">
            <w:pPr>
              <w:pStyle w:val="ListParagraph"/>
              <w:spacing w:line="276" w:lineRule="auto"/>
              <w:ind w:left="0"/>
              <w:jc w:val="center"/>
              <w:rPr>
                <w:rFonts w:ascii="Cambria" w:hAnsi="Cambria"/>
                <w:sz w:val="18"/>
                <w:szCs w:val="18"/>
              </w:rPr>
            </w:pPr>
            <w:r w:rsidRPr="008F2A32">
              <w:rPr>
                <w:rFonts w:ascii="Cambria" w:hAnsi="Cambria"/>
                <w:sz w:val="18"/>
                <w:szCs w:val="18"/>
              </w:rPr>
              <w:t xml:space="preserve">Cumplimiento </w:t>
            </w:r>
            <w:r w:rsidR="00F66440" w:rsidRPr="008F2A32">
              <w:rPr>
                <w:rFonts w:ascii="Cambria" w:hAnsi="Cambria"/>
                <w:sz w:val="18"/>
                <w:szCs w:val="18"/>
              </w:rPr>
              <w:t>Total</w:t>
            </w:r>
          </w:p>
        </w:tc>
      </w:tr>
      <w:tr w:rsidR="003960C4" w:rsidRPr="008F2A32" w14:paraId="43831FBC" w14:textId="77777777" w:rsidTr="00EF7072">
        <w:tc>
          <w:tcPr>
            <w:tcW w:w="7309" w:type="dxa"/>
            <w:gridSpan w:val="2"/>
            <w:shd w:val="clear" w:color="auto" w:fill="D9E2F3" w:themeFill="accent5" w:themeFillTint="33"/>
          </w:tcPr>
          <w:p w14:paraId="77F6D035" w14:textId="77777777" w:rsidR="003960C4" w:rsidRPr="008F2A32" w:rsidRDefault="003960C4" w:rsidP="00E73515">
            <w:pPr>
              <w:pStyle w:val="ListParagraph"/>
              <w:spacing w:line="276" w:lineRule="auto"/>
              <w:ind w:left="0"/>
              <w:jc w:val="both"/>
              <w:rPr>
                <w:rFonts w:ascii="Cambria" w:hAnsi="Cambria"/>
                <w:bCs/>
                <w:sz w:val="18"/>
                <w:szCs w:val="18"/>
              </w:rPr>
            </w:pPr>
            <w:r w:rsidRPr="008F2A32">
              <w:rPr>
                <w:rFonts w:ascii="Cambria" w:hAnsi="Cambria"/>
                <w:b/>
                <w:bCs/>
                <w:sz w:val="18"/>
                <w:szCs w:val="18"/>
              </w:rPr>
              <w:t xml:space="preserve">Cláusula D del Acuerdo de Cumplimiento. </w:t>
            </w:r>
            <w:r w:rsidRPr="008F2A32">
              <w:rPr>
                <w:rFonts w:ascii="Cambria" w:hAnsi="Cambria"/>
                <w:color w:val="000000" w:themeColor="text1"/>
                <w:sz w:val="18"/>
                <w:szCs w:val="18"/>
                <w:lang w:val="es-ES"/>
              </w:rPr>
              <w:t>Adecuación de la oferta docente de cursos de formación y perfeccionamiento dirigido a juezas y jueces del poder judicial.</w:t>
            </w:r>
          </w:p>
        </w:tc>
        <w:tc>
          <w:tcPr>
            <w:tcW w:w="2340" w:type="dxa"/>
            <w:shd w:val="clear" w:color="auto" w:fill="D9E2F3" w:themeFill="accent5" w:themeFillTint="33"/>
          </w:tcPr>
          <w:p w14:paraId="265C57DB" w14:textId="77777777" w:rsidR="003960C4" w:rsidRPr="008F2A32" w:rsidRDefault="003960C4" w:rsidP="00E73515">
            <w:pPr>
              <w:pStyle w:val="ListParagraph"/>
              <w:spacing w:line="276" w:lineRule="auto"/>
              <w:ind w:left="0"/>
              <w:jc w:val="center"/>
              <w:rPr>
                <w:rFonts w:ascii="Cambria" w:hAnsi="Cambria"/>
                <w:sz w:val="18"/>
                <w:szCs w:val="18"/>
              </w:rPr>
            </w:pPr>
            <w:r w:rsidRPr="008F2A32">
              <w:rPr>
                <w:rFonts w:ascii="Cambria" w:hAnsi="Cambria"/>
                <w:sz w:val="18"/>
                <w:szCs w:val="18"/>
              </w:rPr>
              <w:t>Cumplimiento Parcial Sustancial</w:t>
            </w:r>
          </w:p>
        </w:tc>
      </w:tr>
      <w:tr w:rsidR="003960C4" w:rsidRPr="008F2A32" w14:paraId="01A9B021" w14:textId="77777777" w:rsidTr="00EF7072">
        <w:tc>
          <w:tcPr>
            <w:tcW w:w="5059" w:type="dxa"/>
            <w:shd w:val="clear" w:color="auto" w:fill="F2F2F2" w:themeFill="background1" w:themeFillShade="F2"/>
          </w:tcPr>
          <w:p w14:paraId="1231BE67" w14:textId="77777777" w:rsidR="003960C4" w:rsidRPr="008F2A32" w:rsidRDefault="003960C4" w:rsidP="00E73515">
            <w:pPr>
              <w:spacing w:line="276" w:lineRule="auto"/>
              <w:jc w:val="both"/>
              <w:rPr>
                <w:rFonts w:ascii="Cambria" w:hAnsi="Cambria"/>
                <w:b/>
                <w:bCs/>
                <w:sz w:val="18"/>
                <w:szCs w:val="18"/>
              </w:rPr>
            </w:pPr>
          </w:p>
          <w:p w14:paraId="09473C00" w14:textId="1703F51F" w:rsidR="003960C4" w:rsidRPr="008F2A32" w:rsidRDefault="003960C4" w:rsidP="00E73515">
            <w:pPr>
              <w:spacing w:line="276" w:lineRule="auto"/>
              <w:jc w:val="both"/>
              <w:rPr>
                <w:rFonts w:ascii="Cambria" w:hAnsi="Cambria"/>
                <w:sz w:val="18"/>
                <w:szCs w:val="18"/>
                <w:lang w:val="es-ES"/>
              </w:rPr>
            </w:pPr>
            <w:r w:rsidRPr="008F2A32">
              <w:rPr>
                <w:rFonts w:ascii="Cambria" w:hAnsi="Cambria"/>
                <w:b/>
                <w:bCs/>
                <w:sz w:val="18"/>
                <w:szCs w:val="18"/>
              </w:rPr>
              <w:t>Información del Estado en 2023:</w:t>
            </w:r>
            <w:r w:rsidRPr="008F2A32">
              <w:rPr>
                <w:rFonts w:ascii="Cambria" w:hAnsi="Cambria"/>
                <w:sz w:val="18"/>
                <w:szCs w:val="18"/>
                <w:lang w:val="es-ES"/>
              </w:rPr>
              <w:t xml:space="preserve"> </w:t>
            </w:r>
            <w:r w:rsidR="006F42E2" w:rsidRPr="008F2A32">
              <w:rPr>
                <w:rFonts w:ascii="Cambria" w:hAnsi="Cambria"/>
                <w:sz w:val="18"/>
                <w:szCs w:val="18"/>
                <w:lang w:val="es-ES"/>
              </w:rPr>
              <w:t>El Estado reiteró la información proporcionada en años anteriores e informó que l</w:t>
            </w:r>
            <w:r w:rsidR="00922BC7" w:rsidRPr="008F2A32">
              <w:rPr>
                <w:rFonts w:ascii="Cambria" w:hAnsi="Cambria"/>
                <w:sz w:val="18"/>
                <w:szCs w:val="18"/>
                <w:lang w:val="es-ES"/>
              </w:rPr>
              <w:t xml:space="preserve">a Dirección de Educación, Doctrina e Historia de Carabineros de Chile informa que en los programas de la cátedra de Derechos Humanos se abordan contenidos relacionados con sistemas de protección de derechos humanos, obligaciones de los Estados a nivel internacional, responsabilidad ética, grupos vulnerables, uso de la fuerza y consecuencias administrativas y penales de la actuación prohibida. Además, </w:t>
            </w:r>
            <w:r w:rsidR="00C67FB7" w:rsidRPr="008F2A32">
              <w:rPr>
                <w:rFonts w:ascii="Cambria" w:hAnsi="Cambria"/>
                <w:sz w:val="18"/>
                <w:szCs w:val="18"/>
                <w:lang w:val="es-ES"/>
              </w:rPr>
              <w:t xml:space="preserve">indicó que </w:t>
            </w:r>
            <w:r w:rsidR="00922BC7" w:rsidRPr="008F2A32">
              <w:rPr>
                <w:rFonts w:ascii="Cambria" w:hAnsi="Cambria"/>
                <w:sz w:val="18"/>
                <w:szCs w:val="18"/>
                <w:lang w:val="es-ES"/>
              </w:rPr>
              <w:t>se ha llevado a cabo un programa nacional de capacitación en derechos humanos y técnicas de intervención policial,</w:t>
            </w:r>
            <w:r w:rsidR="00C67FB7" w:rsidRPr="008F2A32">
              <w:rPr>
                <w:rFonts w:ascii="Cambria" w:hAnsi="Cambria"/>
                <w:sz w:val="18"/>
                <w:szCs w:val="18"/>
                <w:lang w:val="es-ES"/>
              </w:rPr>
              <w:t xml:space="preserve"> con</w:t>
            </w:r>
            <w:r w:rsidR="00922BC7" w:rsidRPr="008F2A32">
              <w:rPr>
                <w:rFonts w:ascii="Cambria" w:hAnsi="Cambria"/>
                <w:sz w:val="18"/>
                <w:szCs w:val="18"/>
                <w:lang w:val="es-ES"/>
              </w:rPr>
              <w:t xml:space="preserve"> 347 funcionarios asignados a la Región de la Araucanía en 2023</w:t>
            </w:r>
            <w:r w:rsidR="00C67FB7" w:rsidRPr="008F2A32">
              <w:rPr>
                <w:rFonts w:ascii="Cambria" w:hAnsi="Cambria"/>
                <w:sz w:val="18"/>
                <w:szCs w:val="18"/>
                <w:lang w:val="es-ES"/>
              </w:rPr>
              <w:t xml:space="preserve"> capacitados</w:t>
            </w:r>
            <w:r w:rsidR="00922BC7" w:rsidRPr="008F2A32">
              <w:rPr>
                <w:rFonts w:ascii="Cambria" w:hAnsi="Cambria"/>
                <w:sz w:val="18"/>
                <w:szCs w:val="18"/>
                <w:lang w:val="es-ES"/>
              </w:rPr>
              <w:t>.</w:t>
            </w:r>
          </w:p>
          <w:p w14:paraId="36FEB5B0" w14:textId="77777777" w:rsidR="003960C4" w:rsidRPr="008F2A32" w:rsidRDefault="003960C4" w:rsidP="00E73515">
            <w:pPr>
              <w:spacing w:line="276" w:lineRule="auto"/>
              <w:jc w:val="both"/>
              <w:rPr>
                <w:rFonts w:ascii="Cambria" w:hAnsi="Cambria"/>
                <w:sz w:val="18"/>
                <w:szCs w:val="18"/>
              </w:rPr>
            </w:pPr>
          </w:p>
          <w:p w14:paraId="3888D477" w14:textId="37185040" w:rsidR="003960C4" w:rsidRPr="008F2A32" w:rsidRDefault="003960C4" w:rsidP="00E73515">
            <w:pPr>
              <w:spacing w:line="276" w:lineRule="auto"/>
              <w:jc w:val="both"/>
              <w:rPr>
                <w:rFonts w:ascii="Cambria" w:hAnsi="Cambria"/>
                <w:sz w:val="18"/>
                <w:szCs w:val="18"/>
                <w:lang w:val="es-ES"/>
              </w:rPr>
            </w:pPr>
            <w:r w:rsidRPr="008F2A32">
              <w:rPr>
                <w:rFonts w:ascii="Cambria" w:hAnsi="Cambria"/>
                <w:b/>
                <w:bCs/>
                <w:sz w:val="18"/>
                <w:szCs w:val="18"/>
                <w:lang w:val="es-ES"/>
              </w:rPr>
              <w:t>Información de la parte peticionaria en 2023:</w:t>
            </w:r>
            <w:r w:rsidRPr="008F2A32">
              <w:rPr>
                <w:rFonts w:ascii="Cambria" w:hAnsi="Cambria"/>
                <w:sz w:val="18"/>
                <w:szCs w:val="18"/>
                <w:lang w:val="es-ES"/>
              </w:rPr>
              <w:t xml:space="preserve"> </w:t>
            </w:r>
            <w:r w:rsidR="006F42E2" w:rsidRPr="008F2A32">
              <w:rPr>
                <w:rFonts w:ascii="Cambria" w:hAnsi="Cambria"/>
                <w:sz w:val="18"/>
                <w:szCs w:val="18"/>
                <w:lang w:val="es-ES"/>
              </w:rPr>
              <w:t>La parte peticionaria informó que,</w:t>
            </w:r>
            <w:r w:rsidR="00490877" w:rsidRPr="008F2A32">
              <w:rPr>
                <w:rFonts w:ascii="Cambria" w:hAnsi="Cambria"/>
                <w:sz w:val="18"/>
                <w:szCs w:val="18"/>
                <w:lang w:val="es-ES"/>
              </w:rPr>
              <w:t xml:space="preserve"> el 23 de marzo de 2023</w:t>
            </w:r>
            <w:r w:rsidR="00790544" w:rsidRPr="008F2A32">
              <w:rPr>
                <w:rFonts w:ascii="Cambria" w:hAnsi="Cambria"/>
                <w:sz w:val="18"/>
                <w:szCs w:val="18"/>
                <w:lang w:val="es-ES"/>
              </w:rPr>
              <w:t>,</w:t>
            </w:r>
            <w:r w:rsidR="00490877" w:rsidRPr="008F2A32">
              <w:rPr>
                <w:rFonts w:ascii="Cambria" w:hAnsi="Cambria"/>
                <w:sz w:val="18"/>
                <w:szCs w:val="18"/>
                <w:lang w:val="es-ES"/>
              </w:rPr>
              <w:t xml:space="preserve"> </w:t>
            </w:r>
            <w:r w:rsidR="006F42E2" w:rsidRPr="008F2A32">
              <w:rPr>
                <w:rFonts w:ascii="Cambria" w:hAnsi="Cambria"/>
                <w:sz w:val="18"/>
                <w:szCs w:val="18"/>
                <w:lang w:val="es-ES"/>
              </w:rPr>
              <w:t xml:space="preserve">habría </w:t>
            </w:r>
            <w:r w:rsidR="00490877" w:rsidRPr="008F2A32">
              <w:rPr>
                <w:rFonts w:ascii="Cambria" w:hAnsi="Cambria"/>
                <w:sz w:val="18"/>
                <w:szCs w:val="18"/>
                <w:lang w:val="es-ES"/>
              </w:rPr>
              <w:t>ingres</w:t>
            </w:r>
            <w:r w:rsidR="006F42E2" w:rsidRPr="008F2A32">
              <w:rPr>
                <w:rFonts w:ascii="Cambria" w:hAnsi="Cambria"/>
                <w:sz w:val="18"/>
                <w:szCs w:val="18"/>
                <w:lang w:val="es-ES"/>
              </w:rPr>
              <w:t>ado</w:t>
            </w:r>
            <w:r w:rsidR="00490877" w:rsidRPr="008F2A32">
              <w:rPr>
                <w:rFonts w:ascii="Cambria" w:hAnsi="Cambria"/>
                <w:sz w:val="18"/>
                <w:szCs w:val="18"/>
                <w:lang w:val="es-ES"/>
              </w:rPr>
              <w:t xml:space="preserve"> a la Cámara de Diputados el Boletín </w:t>
            </w:r>
            <w:r w:rsidR="00790544" w:rsidRPr="008F2A32">
              <w:rPr>
                <w:rFonts w:ascii="Cambria" w:hAnsi="Cambria"/>
                <w:bCs/>
                <w:color w:val="000000" w:themeColor="text1"/>
                <w:sz w:val="18"/>
                <w:szCs w:val="18"/>
                <w:lang w:val="es-ES"/>
              </w:rPr>
              <w:t>Nº</w:t>
            </w:r>
            <w:r w:rsidR="00490877" w:rsidRPr="008F2A32">
              <w:rPr>
                <w:rFonts w:ascii="Cambria" w:hAnsi="Cambria"/>
                <w:sz w:val="18"/>
                <w:szCs w:val="18"/>
                <w:lang w:val="es-ES"/>
              </w:rPr>
              <w:t xml:space="preserve"> 14870-25, más conocido como Ley Naín-Retamal</w:t>
            </w:r>
            <w:r w:rsidR="008F2A32">
              <w:rPr>
                <w:rFonts w:ascii="Cambria" w:hAnsi="Cambria"/>
                <w:sz w:val="18"/>
                <w:szCs w:val="18"/>
                <w:lang w:val="es-ES"/>
              </w:rPr>
              <w:t xml:space="preserve">. </w:t>
            </w:r>
            <w:r w:rsidR="00E14898" w:rsidRPr="008F2A32">
              <w:rPr>
                <w:rFonts w:ascii="Cambria" w:hAnsi="Cambria"/>
                <w:sz w:val="18"/>
                <w:szCs w:val="18"/>
                <w:lang w:val="es-ES"/>
              </w:rPr>
              <w:t xml:space="preserve">La parte peticionaria indicó que </w:t>
            </w:r>
            <w:r w:rsidR="00BE7C7C" w:rsidRPr="008F2A32">
              <w:rPr>
                <w:rFonts w:ascii="Cambria" w:hAnsi="Cambria"/>
                <w:sz w:val="18"/>
                <w:szCs w:val="18"/>
                <w:lang w:val="es-ES"/>
              </w:rPr>
              <w:t xml:space="preserve">el contenido de ambas normas </w:t>
            </w:r>
            <w:r w:rsidR="006F42E2" w:rsidRPr="008F2A32">
              <w:rPr>
                <w:rFonts w:ascii="Cambria" w:hAnsi="Cambria"/>
                <w:sz w:val="18"/>
                <w:szCs w:val="18"/>
                <w:lang w:val="es-ES"/>
              </w:rPr>
              <w:t>habría de</w:t>
            </w:r>
            <w:r w:rsidR="00BE7C7C" w:rsidRPr="008F2A32">
              <w:rPr>
                <w:rFonts w:ascii="Cambria" w:hAnsi="Cambria"/>
                <w:sz w:val="18"/>
                <w:szCs w:val="18"/>
                <w:lang w:val="es-ES"/>
              </w:rPr>
              <w:t xml:space="preserve"> ser tomado en cuenta para valorar el cumplimiento de las obligaciones estatales en el marco de este caso. </w:t>
            </w:r>
          </w:p>
          <w:p w14:paraId="6953690F" w14:textId="1F667450" w:rsidR="00790544" w:rsidRPr="008F2A32" w:rsidRDefault="00790544" w:rsidP="00E73515">
            <w:pPr>
              <w:spacing w:line="276" w:lineRule="auto"/>
              <w:jc w:val="both"/>
              <w:rPr>
                <w:rFonts w:ascii="Cambria" w:hAnsi="Cambria"/>
                <w:sz w:val="18"/>
                <w:szCs w:val="18"/>
              </w:rPr>
            </w:pPr>
          </w:p>
        </w:tc>
        <w:tc>
          <w:tcPr>
            <w:tcW w:w="4590" w:type="dxa"/>
            <w:gridSpan w:val="2"/>
            <w:shd w:val="clear" w:color="auto" w:fill="F2F2F2" w:themeFill="background1" w:themeFillShade="F2"/>
          </w:tcPr>
          <w:p w14:paraId="30D7AA69" w14:textId="77777777" w:rsidR="003960C4" w:rsidRPr="008F2A32" w:rsidRDefault="003960C4" w:rsidP="00E73515">
            <w:pPr>
              <w:pStyle w:val="ListParagraph"/>
              <w:spacing w:line="276" w:lineRule="auto"/>
              <w:ind w:left="0"/>
              <w:jc w:val="both"/>
              <w:rPr>
                <w:rFonts w:ascii="Cambria" w:hAnsi="Cambria"/>
                <w:b/>
                <w:sz w:val="18"/>
                <w:szCs w:val="18"/>
                <w:lang w:val="es-ES_tradnl"/>
              </w:rPr>
            </w:pPr>
          </w:p>
          <w:p w14:paraId="6590F430" w14:textId="77777777" w:rsidR="00E14898" w:rsidRPr="008F2A32" w:rsidRDefault="003960C4" w:rsidP="006F42E2">
            <w:pPr>
              <w:pStyle w:val="ListParagraph"/>
              <w:spacing w:line="276" w:lineRule="auto"/>
              <w:ind w:left="0"/>
              <w:jc w:val="both"/>
              <w:rPr>
                <w:rFonts w:ascii="Cambria" w:hAnsi="Cambria"/>
                <w:sz w:val="18"/>
                <w:szCs w:val="18"/>
                <w:lang w:val="es-ES_tradnl"/>
              </w:rPr>
            </w:pPr>
            <w:r w:rsidRPr="008F2A32">
              <w:rPr>
                <w:rFonts w:ascii="Cambria" w:hAnsi="Cambria"/>
                <w:b/>
                <w:sz w:val="18"/>
                <w:szCs w:val="18"/>
                <w:lang w:val="es-ES_tradnl"/>
              </w:rPr>
              <w:t>Análisis de cumplimiento:</w:t>
            </w:r>
            <w:r w:rsidRPr="008F2A32">
              <w:rPr>
                <w:rFonts w:ascii="Cambria" w:hAnsi="Cambria"/>
                <w:sz w:val="18"/>
                <w:szCs w:val="18"/>
                <w:lang w:val="es-ES_tradnl"/>
              </w:rPr>
              <w:t xml:space="preserve"> </w:t>
            </w:r>
            <w:r w:rsidR="007777F1" w:rsidRPr="008F2A32">
              <w:rPr>
                <w:rFonts w:ascii="Cambria" w:hAnsi="Cambria"/>
                <w:sz w:val="18"/>
                <w:szCs w:val="18"/>
                <w:lang w:val="es-ES_tradnl"/>
              </w:rPr>
              <w:t>L</w:t>
            </w:r>
            <w:r w:rsidRPr="008F2A32">
              <w:rPr>
                <w:rFonts w:ascii="Cambria" w:hAnsi="Cambria"/>
                <w:sz w:val="18"/>
                <w:szCs w:val="18"/>
                <w:lang w:val="es-ES_tradnl"/>
              </w:rPr>
              <w:t xml:space="preserve">a Comisión </w:t>
            </w:r>
            <w:r w:rsidR="00F66440" w:rsidRPr="008F2A32">
              <w:rPr>
                <w:rFonts w:ascii="Cambria" w:hAnsi="Cambria"/>
                <w:sz w:val="18"/>
                <w:szCs w:val="18"/>
                <w:lang w:val="es-ES_tradnl"/>
              </w:rPr>
              <w:t>toma nota de la</w:t>
            </w:r>
            <w:r w:rsidR="00E14898" w:rsidRPr="008F2A32">
              <w:rPr>
                <w:rFonts w:ascii="Cambria" w:hAnsi="Cambria"/>
                <w:sz w:val="18"/>
                <w:szCs w:val="18"/>
                <w:lang w:val="es-ES_tradnl"/>
              </w:rPr>
              <w:t>s</w:t>
            </w:r>
            <w:r w:rsidR="00F66440" w:rsidRPr="008F2A32">
              <w:rPr>
                <w:rFonts w:ascii="Cambria" w:hAnsi="Cambria"/>
                <w:sz w:val="18"/>
                <w:szCs w:val="18"/>
                <w:lang w:val="es-ES_tradnl"/>
              </w:rPr>
              <w:t xml:space="preserve"> capacitaciones proporcionadas por el Estado en cumplimiento de la cláusula B</w:t>
            </w:r>
            <w:r w:rsidR="00E14898" w:rsidRPr="008F2A32">
              <w:rPr>
                <w:rFonts w:ascii="Cambria" w:hAnsi="Cambria"/>
                <w:sz w:val="18"/>
                <w:szCs w:val="18"/>
                <w:lang w:val="es-ES_tradnl"/>
              </w:rPr>
              <w:t xml:space="preserve"> del Acuerdo de Cumplimiento y considera que esta ha avanzado a cumplimiento total</w:t>
            </w:r>
            <w:r w:rsidR="00F66440" w:rsidRPr="008F2A32">
              <w:rPr>
                <w:rFonts w:ascii="Cambria" w:hAnsi="Cambria"/>
                <w:sz w:val="18"/>
                <w:szCs w:val="18"/>
                <w:lang w:val="es-ES_tradnl"/>
              </w:rPr>
              <w:t xml:space="preserve">. </w:t>
            </w:r>
          </w:p>
          <w:p w14:paraId="00D639DF" w14:textId="77777777" w:rsidR="00E14898" w:rsidRPr="008F2A32" w:rsidRDefault="00E14898" w:rsidP="006F42E2">
            <w:pPr>
              <w:pStyle w:val="ListParagraph"/>
              <w:spacing w:line="276" w:lineRule="auto"/>
              <w:ind w:left="0"/>
              <w:jc w:val="both"/>
              <w:rPr>
                <w:rFonts w:ascii="Cambria" w:hAnsi="Cambria"/>
                <w:sz w:val="18"/>
                <w:szCs w:val="18"/>
                <w:lang w:val="es-ES"/>
              </w:rPr>
            </w:pPr>
          </w:p>
          <w:p w14:paraId="23AEE535" w14:textId="7D7AD377" w:rsidR="006F42E2" w:rsidRPr="008F2A32" w:rsidRDefault="00E14898" w:rsidP="006F42E2">
            <w:pPr>
              <w:pStyle w:val="ListParagraph"/>
              <w:spacing w:line="276" w:lineRule="auto"/>
              <w:ind w:left="0"/>
              <w:jc w:val="both"/>
              <w:rPr>
                <w:rFonts w:ascii="Cambria" w:hAnsi="Cambria"/>
                <w:b/>
                <w:bCs/>
                <w:sz w:val="18"/>
                <w:szCs w:val="18"/>
                <w:lang w:val="es-ES_tradnl"/>
              </w:rPr>
            </w:pPr>
            <w:r w:rsidRPr="008F2A32">
              <w:rPr>
                <w:rFonts w:ascii="Cambria" w:hAnsi="Cambria"/>
                <w:sz w:val="18"/>
                <w:szCs w:val="18"/>
                <w:lang w:val="es-ES"/>
              </w:rPr>
              <w:t>Sin embargo, l</w:t>
            </w:r>
            <w:r w:rsidR="003960C4" w:rsidRPr="008F2A32">
              <w:rPr>
                <w:rFonts w:ascii="Cambria" w:hAnsi="Cambria"/>
                <w:sz w:val="18"/>
                <w:szCs w:val="18"/>
                <w:lang w:val="es-ES_tradnl"/>
              </w:rPr>
              <w:t xml:space="preserve">a CIDH considera que los puntos </w:t>
            </w:r>
            <w:r w:rsidR="007777F1" w:rsidRPr="008F2A32">
              <w:rPr>
                <w:rFonts w:ascii="Cambria" w:hAnsi="Cambria"/>
                <w:sz w:val="18"/>
                <w:szCs w:val="18"/>
                <w:lang w:val="es-ES_tradnl"/>
              </w:rPr>
              <w:t>4A y 4D</w:t>
            </w:r>
            <w:r w:rsidR="003960C4" w:rsidRPr="008F2A32">
              <w:rPr>
                <w:rFonts w:ascii="Cambria" w:hAnsi="Cambria"/>
                <w:sz w:val="18"/>
                <w:szCs w:val="18"/>
                <w:lang w:val="es-ES_tradnl"/>
              </w:rPr>
              <w:t xml:space="preserve"> del Acuerdo suscrito entre las partes </w:t>
            </w:r>
            <w:r w:rsidRPr="008F2A32">
              <w:rPr>
                <w:rFonts w:ascii="Cambria" w:hAnsi="Cambria"/>
                <w:sz w:val="18"/>
                <w:szCs w:val="18"/>
                <w:lang w:val="es-ES_tradnl"/>
              </w:rPr>
              <w:t>continúan cumplidos a nivel parcial sustancial</w:t>
            </w:r>
            <w:r w:rsidR="006F42E2" w:rsidRPr="008F2A32">
              <w:rPr>
                <w:rFonts w:ascii="Cambria" w:hAnsi="Cambria"/>
                <w:sz w:val="18"/>
                <w:szCs w:val="18"/>
                <w:lang w:val="es-ES_tradnl"/>
              </w:rPr>
              <w:t xml:space="preserve">. </w:t>
            </w:r>
            <w:r w:rsidR="008F2A32">
              <w:rPr>
                <w:rFonts w:ascii="Cambria" w:hAnsi="Cambria"/>
                <w:sz w:val="18"/>
                <w:szCs w:val="18"/>
                <w:lang w:val="es-ES_tradnl"/>
              </w:rPr>
              <w:t xml:space="preserve">Para su cumplimiento total, es necesario que el Estado informe de la publicación de lineamientos generales sobre uso de la fuerza y brinde información actualizada sobre la oferta de cursos en el ámbito del poder judicial, en la materia. </w:t>
            </w:r>
            <w:r w:rsidR="006F42E2" w:rsidRPr="008F2A32">
              <w:rPr>
                <w:rFonts w:ascii="Cambria" w:hAnsi="Cambria"/>
                <w:sz w:val="18"/>
                <w:szCs w:val="18"/>
                <w:lang w:val="es-ES_tradnl"/>
              </w:rPr>
              <w:t xml:space="preserve">En razón de lo anterior, la CIDH concluye que la cuarta recomendación se encuentra </w:t>
            </w:r>
            <w:r w:rsidRPr="008F2A32">
              <w:rPr>
                <w:rFonts w:ascii="Cambria" w:hAnsi="Cambria"/>
                <w:b/>
                <w:bCs/>
                <w:sz w:val="18"/>
                <w:szCs w:val="18"/>
                <w:lang w:val="es-ES_tradnl"/>
              </w:rPr>
              <w:t>cumplida a nivel parcial sustancial</w:t>
            </w:r>
            <w:r w:rsidR="006F42E2" w:rsidRPr="008F2A32">
              <w:rPr>
                <w:rFonts w:ascii="Cambria" w:hAnsi="Cambria"/>
                <w:b/>
                <w:bCs/>
                <w:sz w:val="18"/>
                <w:szCs w:val="18"/>
                <w:lang w:val="es-ES_tradnl"/>
              </w:rPr>
              <w:t xml:space="preserve">. </w:t>
            </w:r>
            <w:r w:rsidR="006F42E2" w:rsidRPr="008F2A32">
              <w:rPr>
                <w:rFonts w:ascii="Cambria" w:hAnsi="Cambria"/>
                <w:sz w:val="18"/>
                <w:szCs w:val="18"/>
                <w:lang w:val="es-ES_tradnl"/>
              </w:rPr>
              <w:t xml:space="preserve"> </w:t>
            </w:r>
          </w:p>
          <w:p w14:paraId="624F9FB6" w14:textId="77777777" w:rsidR="006F42E2" w:rsidRPr="008F2A32" w:rsidRDefault="006F42E2" w:rsidP="00E73515">
            <w:pPr>
              <w:pStyle w:val="ListParagraph"/>
              <w:spacing w:line="276" w:lineRule="auto"/>
              <w:ind w:left="0"/>
              <w:jc w:val="both"/>
              <w:rPr>
                <w:rFonts w:ascii="Cambria" w:hAnsi="Cambria"/>
                <w:sz w:val="18"/>
                <w:szCs w:val="18"/>
                <w:lang w:val="es-ES_tradnl"/>
              </w:rPr>
            </w:pPr>
          </w:p>
          <w:p w14:paraId="7196D064" w14:textId="77777777" w:rsidR="003960C4" w:rsidRPr="008F2A32" w:rsidRDefault="003960C4" w:rsidP="00E73515">
            <w:pPr>
              <w:pStyle w:val="ListParagraph"/>
              <w:spacing w:line="276" w:lineRule="auto"/>
              <w:ind w:left="0"/>
              <w:jc w:val="both"/>
              <w:rPr>
                <w:rFonts w:ascii="Cambria" w:hAnsi="Cambria"/>
                <w:sz w:val="18"/>
                <w:szCs w:val="18"/>
                <w:lang w:val="es-ES_tradnl"/>
              </w:rPr>
            </w:pPr>
          </w:p>
        </w:tc>
      </w:tr>
      <w:tr w:rsidR="003960C4" w:rsidRPr="008F2A32" w14:paraId="5DE1201C" w14:textId="77777777" w:rsidTr="00EF7072">
        <w:tc>
          <w:tcPr>
            <w:tcW w:w="9649" w:type="dxa"/>
            <w:gridSpan w:val="3"/>
            <w:shd w:val="clear" w:color="auto" w:fill="D9D9D9" w:themeFill="background1" w:themeFillShade="D9"/>
          </w:tcPr>
          <w:p w14:paraId="755668CB" w14:textId="77777777" w:rsidR="00E14898" w:rsidRPr="008F2A32" w:rsidRDefault="00E14898" w:rsidP="00E73515">
            <w:pPr>
              <w:spacing w:line="276" w:lineRule="auto"/>
              <w:jc w:val="both"/>
              <w:rPr>
                <w:rFonts w:ascii="Cambria" w:hAnsi="Cambria"/>
                <w:b/>
                <w:sz w:val="18"/>
                <w:szCs w:val="18"/>
              </w:rPr>
            </w:pPr>
          </w:p>
          <w:p w14:paraId="23F589B7" w14:textId="2D0D6131" w:rsidR="003960C4" w:rsidRPr="008F2A32" w:rsidRDefault="003960C4" w:rsidP="00E73515">
            <w:pPr>
              <w:spacing w:line="276" w:lineRule="auto"/>
              <w:jc w:val="both"/>
              <w:rPr>
                <w:rFonts w:ascii="Cambria" w:hAnsi="Cambria"/>
                <w:b/>
                <w:sz w:val="18"/>
                <w:szCs w:val="18"/>
              </w:rPr>
            </w:pPr>
            <w:r w:rsidRPr="008F2A32">
              <w:rPr>
                <w:rFonts w:ascii="Cambria" w:hAnsi="Cambria"/>
                <w:b/>
                <w:sz w:val="18"/>
                <w:szCs w:val="18"/>
              </w:rPr>
              <w:t>Medidas relevantes de cumplimiento adoptadas en 2023:</w:t>
            </w:r>
          </w:p>
          <w:p w14:paraId="1ECE014A" w14:textId="78BC9542" w:rsidR="007777F1" w:rsidRPr="008F2A32" w:rsidRDefault="00922BC7" w:rsidP="008F2A32">
            <w:pPr>
              <w:pStyle w:val="ListParagraph"/>
              <w:numPr>
                <w:ilvl w:val="0"/>
                <w:numId w:val="2"/>
              </w:numPr>
              <w:spacing w:line="276" w:lineRule="auto"/>
              <w:jc w:val="both"/>
              <w:rPr>
                <w:rFonts w:ascii="Cambria" w:hAnsi="Cambria"/>
                <w:b/>
                <w:sz w:val="18"/>
                <w:szCs w:val="18"/>
              </w:rPr>
            </w:pPr>
            <w:r w:rsidRPr="008F2A32">
              <w:rPr>
                <w:rFonts w:ascii="Cambria" w:hAnsi="Cambria"/>
                <w:sz w:val="18"/>
                <w:szCs w:val="18"/>
                <w:lang w:val="es-ES"/>
              </w:rPr>
              <w:t>Jornadas de capacitación en la Zona Araucanía Control Orden Público.</w:t>
            </w:r>
          </w:p>
        </w:tc>
      </w:tr>
    </w:tbl>
    <w:p w14:paraId="34FF1C98" w14:textId="77777777" w:rsidR="003960C4" w:rsidRPr="007C674E" w:rsidRDefault="003960C4" w:rsidP="003960C4">
      <w:pPr>
        <w:spacing w:after="0" w:line="276" w:lineRule="auto"/>
        <w:jc w:val="both"/>
        <w:rPr>
          <w:rFonts w:ascii="Cambria" w:hAnsi="Cambria"/>
          <w:b/>
          <w:sz w:val="20"/>
          <w:szCs w:val="20"/>
        </w:rPr>
      </w:pPr>
    </w:p>
    <w:p w14:paraId="6D072C0D" w14:textId="7FB841C3" w:rsidR="00FD0BBE" w:rsidRPr="007C674E" w:rsidRDefault="00FD0BBE" w:rsidP="006A0B04">
      <w:pPr>
        <w:pStyle w:val="ListParagraph"/>
        <w:numPr>
          <w:ilvl w:val="0"/>
          <w:numId w:val="1"/>
        </w:numPr>
        <w:spacing w:after="0" w:line="276" w:lineRule="auto"/>
        <w:jc w:val="both"/>
        <w:rPr>
          <w:rFonts w:ascii="Cambria" w:hAnsi="Cambria" w:cs="Calibri Light"/>
          <w:color w:val="000000" w:themeColor="text1"/>
          <w:sz w:val="20"/>
          <w:szCs w:val="20"/>
          <w:lang w:val="es-US"/>
        </w:rPr>
      </w:pPr>
      <w:r w:rsidRPr="007C674E">
        <w:rPr>
          <w:rFonts w:ascii="Cambria" w:hAnsi="Cambria"/>
          <w:b/>
          <w:sz w:val="20"/>
          <w:szCs w:val="20"/>
        </w:rPr>
        <w:t xml:space="preserve">Próximos pasos para el seguimiento del caso </w:t>
      </w:r>
    </w:p>
    <w:p w14:paraId="5BE9A1F6" w14:textId="7B0BCF65" w:rsidR="006F42E2" w:rsidRPr="007C674E" w:rsidRDefault="006F42E2" w:rsidP="006F42E2">
      <w:pPr>
        <w:pStyle w:val="ListParagraph"/>
        <w:numPr>
          <w:ilvl w:val="0"/>
          <w:numId w:val="5"/>
        </w:numPr>
        <w:spacing w:after="0" w:line="276" w:lineRule="auto"/>
        <w:jc w:val="both"/>
        <w:rPr>
          <w:rFonts w:ascii="Cambria" w:hAnsi="Cambria" w:cs="Calibri Light"/>
          <w:color w:val="000000" w:themeColor="text1"/>
          <w:sz w:val="20"/>
          <w:szCs w:val="20"/>
          <w:lang w:val="es-US"/>
        </w:rPr>
      </w:pPr>
      <w:r w:rsidRPr="007C674E">
        <w:rPr>
          <w:rFonts w:ascii="Cambria" w:hAnsi="Cambria" w:cs="Calibri Light"/>
          <w:color w:val="000000" w:themeColor="text1"/>
          <w:sz w:val="20"/>
          <w:szCs w:val="20"/>
          <w:lang w:val="es-US"/>
        </w:rPr>
        <w:t>La CIDH saluda la información proporcionada por las partes para el seguimiento de las recomendaciones.</w:t>
      </w:r>
      <w:r w:rsidR="00DB37D0">
        <w:rPr>
          <w:rFonts w:ascii="Cambria" w:hAnsi="Cambria" w:cs="Calibri Light"/>
          <w:color w:val="000000" w:themeColor="text1"/>
          <w:sz w:val="20"/>
          <w:szCs w:val="20"/>
          <w:lang w:val="es-US"/>
        </w:rPr>
        <w:t xml:space="preserve"> Particularmente, valora positivamente los avances reportados por el Estado en materia de compensación, capacitaciones e investigación, de acuerdo con las recomendaciones del Informe de Fondo y con las cláusulas acordadas entre las partes.</w:t>
      </w:r>
      <w:r w:rsidRPr="007C674E">
        <w:rPr>
          <w:rFonts w:ascii="Cambria" w:hAnsi="Cambria" w:cs="Calibri Light"/>
          <w:color w:val="000000" w:themeColor="text1"/>
          <w:sz w:val="20"/>
          <w:szCs w:val="20"/>
          <w:lang w:val="es-US"/>
        </w:rPr>
        <w:t xml:space="preserve"> </w:t>
      </w:r>
    </w:p>
    <w:p w14:paraId="6BD18F9B" w14:textId="5464E0AF" w:rsidR="00373D6C" w:rsidRPr="007C674E" w:rsidRDefault="006F42E2" w:rsidP="00A70C01">
      <w:pPr>
        <w:pStyle w:val="ListParagraph"/>
        <w:numPr>
          <w:ilvl w:val="0"/>
          <w:numId w:val="5"/>
        </w:numPr>
        <w:spacing w:after="0" w:line="276" w:lineRule="auto"/>
        <w:jc w:val="both"/>
        <w:rPr>
          <w:sz w:val="20"/>
          <w:szCs w:val="20"/>
        </w:rPr>
      </w:pPr>
      <w:r w:rsidRPr="007C674E">
        <w:rPr>
          <w:rFonts w:ascii="Cambria" w:hAnsi="Cambria" w:cs="Calibri Light"/>
          <w:color w:val="000000" w:themeColor="text1"/>
          <w:sz w:val="20"/>
          <w:szCs w:val="20"/>
          <w:lang w:val="es-US"/>
        </w:rPr>
        <w:t>La CIDH seguirá supervisando las Recomendaciones 1, 3, y 4. En particular, los compromisos 1</w:t>
      </w:r>
      <w:r w:rsidR="00DB37D0">
        <w:rPr>
          <w:rFonts w:ascii="Cambria" w:hAnsi="Cambria" w:cs="Calibri Light"/>
          <w:color w:val="000000" w:themeColor="text1"/>
          <w:sz w:val="20"/>
          <w:szCs w:val="20"/>
          <w:lang w:val="es-US"/>
        </w:rPr>
        <w:t>B</w:t>
      </w:r>
      <w:r w:rsidRPr="007C674E">
        <w:rPr>
          <w:rFonts w:ascii="Cambria" w:hAnsi="Cambria" w:cs="Calibri Light"/>
          <w:color w:val="000000" w:themeColor="text1"/>
          <w:sz w:val="20"/>
          <w:szCs w:val="20"/>
          <w:lang w:val="es-US"/>
        </w:rPr>
        <w:t xml:space="preserve">, </w:t>
      </w:r>
      <w:r w:rsidR="00DB37D0" w:rsidRPr="007C674E">
        <w:rPr>
          <w:rFonts w:ascii="Cambria" w:hAnsi="Cambria" w:cs="Calibri Light"/>
          <w:color w:val="000000" w:themeColor="text1"/>
          <w:sz w:val="20"/>
          <w:szCs w:val="20"/>
          <w:lang w:val="es-US"/>
        </w:rPr>
        <w:t>1</w:t>
      </w:r>
      <w:r w:rsidR="00DB37D0">
        <w:rPr>
          <w:rFonts w:ascii="Cambria" w:hAnsi="Cambria" w:cs="Calibri Light"/>
          <w:color w:val="000000" w:themeColor="text1"/>
          <w:sz w:val="20"/>
          <w:szCs w:val="20"/>
          <w:lang w:val="es-US"/>
        </w:rPr>
        <w:t>D</w:t>
      </w:r>
      <w:r w:rsidRPr="007C674E">
        <w:rPr>
          <w:rFonts w:ascii="Cambria" w:hAnsi="Cambria" w:cs="Calibri Light"/>
          <w:color w:val="000000" w:themeColor="text1"/>
          <w:sz w:val="20"/>
          <w:szCs w:val="20"/>
          <w:lang w:val="es-US"/>
        </w:rPr>
        <w:t>, 4A y 4D del Acuerdo de cumplimiento suscrito entre las partes.</w:t>
      </w:r>
    </w:p>
    <w:sectPr w:rsidR="00373D6C" w:rsidRPr="007C674E" w:rsidSect="00353E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22C3" w14:textId="77777777" w:rsidR="00DF6766" w:rsidRDefault="00DF6766" w:rsidP="00FD0BBE">
      <w:pPr>
        <w:spacing w:after="0" w:line="240" w:lineRule="auto"/>
      </w:pPr>
      <w:r>
        <w:separator/>
      </w:r>
    </w:p>
  </w:endnote>
  <w:endnote w:type="continuationSeparator" w:id="0">
    <w:p w14:paraId="32CDC196" w14:textId="77777777" w:rsidR="00DF6766" w:rsidRDefault="00DF6766" w:rsidP="00FD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8D9A" w14:textId="77777777" w:rsidR="00353E67" w:rsidRDefault="00353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7E27E48A" w14:paraId="45D95595" w14:textId="77777777" w:rsidTr="7E27E48A">
      <w:trPr>
        <w:trHeight w:val="300"/>
      </w:trPr>
      <w:tc>
        <w:tcPr>
          <w:tcW w:w="2945" w:type="dxa"/>
        </w:tcPr>
        <w:p w14:paraId="05B159E3" w14:textId="1F549BBF" w:rsidR="7E27E48A" w:rsidRDefault="7E27E48A" w:rsidP="7E27E48A">
          <w:pPr>
            <w:pStyle w:val="Header"/>
            <w:ind w:left="-115"/>
          </w:pPr>
        </w:p>
      </w:tc>
      <w:tc>
        <w:tcPr>
          <w:tcW w:w="2945" w:type="dxa"/>
        </w:tcPr>
        <w:p w14:paraId="1294E0F1" w14:textId="28D3A42E" w:rsidR="7E27E48A" w:rsidRPr="006F42E2" w:rsidRDefault="7E27E48A" w:rsidP="7E27E48A">
          <w:pPr>
            <w:pStyle w:val="Header"/>
            <w:jc w:val="center"/>
            <w:rPr>
              <w:rFonts w:ascii="Cambria" w:hAnsi="Cambria"/>
              <w:sz w:val="16"/>
              <w:szCs w:val="16"/>
            </w:rPr>
          </w:pPr>
          <w:r w:rsidRPr="006F42E2">
            <w:rPr>
              <w:rFonts w:ascii="Cambria" w:hAnsi="Cambria"/>
              <w:sz w:val="16"/>
              <w:szCs w:val="16"/>
            </w:rPr>
            <w:fldChar w:fldCharType="begin"/>
          </w:r>
          <w:r w:rsidRPr="006F42E2">
            <w:rPr>
              <w:rFonts w:ascii="Cambria" w:hAnsi="Cambria"/>
              <w:sz w:val="16"/>
              <w:szCs w:val="16"/>
            </w:rPr>
            <w:instrText>PAGE</w:instrText>
          </w:r>
          <w:r w:rsidRPr="006F42E2">
            <w:rPr>
              <w:rFonts w:ascii="Cambria" w:hAnsi="Cambria"/>
              <w:sz w:val="16"/>
              <w:szCs w:val="16"/>
            </w:rPr>
            <w:fldChar w:fldCharType="separate"/>
          </w:r>
          <w:r w:rsidR="0015181C" w:rsidRPr="006F42E2">
            <w:rPr>
              <w:rFonts w:ascii="Cambria" w:hAnsi="Cambria"/>
              <w:noProof/>
              <w:sz w:val="16"/>
              <w:szCs w:val="16"/>
            </w:rPr>
            <w:t>1</w:t>
          </w:r>
          <w:r w:rsidRPr="006F42E2">
            <w:rPr>
              <w:rFonts w:ascii="Cambria" w:hAnsi="Cambria"/>
              <w:sz w:val="16"/>
              <w:szCs w:val="16"/>
            </w:rPr>
            <w:fldChar w:fldCharType="end"/>
          </w:r>
        </w:p>
      </w:tc>
      <w:tc>
        <w:tcPr>
          <w:tcW w:w="2945" w:type="dxa"/>
        </w:tcPr>
        <w:p w14:paraId="439B318F" w14:textId="05CA6291" w:rsidR="7E27E48A" w:rsidRDefault="7E27E48A" w:rsidP="7E27E48A">
          <w:pPr>
            <w:pStyle w:val="Header"/>
            <w:ind w:right="-115"/>
            <w:jc w:val="right"/>
          </w:pPr>
        </w:p>
      </w:tc>
    </w:tr>
  </w:tbl>
  <w:p w14:paraId="2518FEAB" w14:textId="329F45C5" w:rsidR="7E27E48A" w:rsidRDefault="7E27E48A" w:rsidP="7E27E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3D5B" w14:textId="77777777" w:rsidR="00353E67" w:rsidRDefault="00353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5DD1" w14:textId="77777777" w:rsidR="00DF6766" w:rsidRDefault="00DF6766" w:rsidP="00FD0BBE">
      <w:pPr>
        <w:spacing w:after="0" w:line="240" w:lineRule="auto"/>
      </w:pPr>
      <w:r>
        <w:separator/>
      </w:r>
    </w:p>
  </w:footnote>
  <w:footnote w:type="continuationSeparator" w:id="0">
    <w:p w14:paraId="691D7CA6" w14:textId="77777777" w:rsidR="00DF6766" w:rsidRDefault="00DF6766" w:rsidP="00FD0BBE">
      <w:pPr>
        <w:spacing w:after="0" w:line="240" w:lineRule="auto"/>
      </w:pPr>
      <w:r>
        <w:continuationSeparator/>
      </w:r>
    </w:p>
  </w:footnote>
  <w:footnote w:id="1">
    <w:p w14:paraId="5D7C475A" w14:textId="64CEEF61" w:rsidR="00EB6059" w:rsidRPr="00570040" w:rsidRDefault="00EB6059" w:rsidP="00EB6059">
      <w:pPr>
        <w:pStyle w:val="NoSpacing"/>
        <w:ind w:firstLine="709"/>
        <w:jc w:val="both"/>
        <w:rPr>
          <w:rFonts w:ascii="Cambria" w:hAnsi="Cambria"/>
          <w:sz w:val="16"/>
          <w:szCs w:val="16"/>
        </w:rPr>
      </w:pPr>
      <w:r w:rsidRPr="00570040">
        <w:rPr>
          <w:rStyle w:val="FootnoteReference"/>
          <w:rFonts w:ascii="Cambria" w:hAnsi="Cambria"/>
          <w:sz w:val="16"/>
          <w:szCs w:val="16"/>
        </w:rPr>
        <w:footnoteRef/>
      </w:r>
      <w:r w:rsidRPr="00570040">
        <w:rPr>
          <w:rFonts w:ascii="Cambria" w:hAnsi="Cambria"/>
          <w:sz w:val="16"/>
          <w:szCs w:val="16"/>
        </w:rPr>
        <w:t xml:space="preserve"> </w:t>
      </w:r>
      <w:r>
        <w:rPr>
          <w:rFonts w:ascii="Cambria" w:hAnsi="Cambria"/>
          <w:sz w:val="16"/>
          <w:szCs w:val="16"/>
        </w:rPr>
        <w:t>Clausula A de la Recomendación 1 del Acuerdo de Cumplimiento. “</w:t>
      </w:r>
      <w:r w:rsidRPr="00570040">
        <w:rPr>
          <w:rFonts w:ascii="Cambria" w:hAnsi="Cambria"/>
          <w:sz w:val="16"/>
          <w:szCs w:val="16"/>
        </w:rPr>
        <w:t>Reparación económica, el Estado indemnizará a las víctimas por un monto estipulado en el acuerdo</w:t>
      </w:r>
      <w:r>
        <w:rPr>
          <w:rFonts w:ascii="Cambria" w:hAnsi="Cambria"/>
          <w:sz w:val="16"/>
          <w:szCs w:val="16"/>
        </w:rPr>
        <w:t xml:space="preserve">”. </w:t>
      </w:r>
      <w:r w:rsidRPr="00C66276">
        <w:rPr>
          <w:rFonts w:ascii="Cambria" w:hAnsi="Cambria"/>
          <w:sz w:val="16"/>
          <w:szCs w:val="16"/>
          <w:lang w:val="es-US"/>
        </w:rPr>
        <w:t>La recomendación fue dada como cumplida en</w:t>
      </w:r>
      <w:r w:rsidRPr="00C66276">
        <w:rPr>
          <w:rFonts w:ascii="Cambria" w:hAnsi="Cambria"/>
          <w:sz w:val="16"/>
          <w:szCs w:val="16"/>
          <w:lang w:val="es-ES"/>
        </w:rPr>
        <w:t xml:space="preserve"> CIDH</w:t>
      </w:r>
      <w:r>
        <w:rPr>
          <w:rFonts w:ascii="Cambria" w:hAnsi="Cambria"/>
          <w:sz w:val="16"/>
          <w:szCs w:val="16"/>
          <w:lang w:val="es-ES"/>
        </w:rPr>
        <w:t>, Informe Anual 2023.</w:t>
      </w:r>
    </w:p>
  </w:footnote>
  <w:footnote w:id="2">
    <w:p w14:paraId="5AD0FD44" w14:textId="4CB9ACE1" w:rsidR="00EB6059" w:rsidRPr="00EB6059" w:rsidRDefault="00EB6059" w:rsidP="00EB6059">
      <w:pPr>
        <w:pStyle w:val="NoSpacing"/>
        <w:ind w:firstLine="709"/>
        <w:jc w:val="both"/>
        <w:rPr>
          <w:rFonts w:ascii="Cambria" w:eastAsia="Times New Roman" w:hAnsi="Cambria"/>
          <w:sz w:val="16"/>
          <w:szCs w:val="16"/>
          <w:lang w:val="es-ES"/>
        </w:rPr>
      </w:pPr>
      <w:r w:rsidRPr="00EB6059">
        <w:rPr>
          <w:rStyle w:val="FootnoteReference"/>
          <w:rFonts w:ascii="Cambria" w:hAnsi="Cambria"/>
          <w:sz w:val="16"/>
          <w:szCs w:val="16"/>
        </w:rPr>
        <w:footnoteRef/>
      </w:r>
      <w:r w:rsidRPr="00EB6059">
        <w:rPr>
          <w:rFonts w:ascii="Cambria" w:hAnsi="Cambria"/>
          <w:sz w:val="16"/>
          <w:szCs w:val="16"/>
        </w:rPr>
        <w:t xml:space="preserve"> </w:t>
      </w:r>
      <w:r>
        <w:rPr>
          <w:rFonts w:ascii="Cambria" w:hAnsi="Cambria"/>
          <w:sz w:val="16"/>
          <w:szCs w:val="16"/>
        </w:rPr>
        <w:t>Clausula C de la Recomendación 1 del Acuerdo de Cumplimiento</w:t>
      </w:r>
      <w:r w:rsidRPr="00EB6059">
        <w:rPr>
          <w:rFonts w:ascii="Cambria" w:eastAsia="Times New Roman" w:hAnsi="Cambria"/>
          <w:sz w:val="16"/>
          <w:szCs w:val="16"/>
          <w:lang w:val="es-ES"/>
        </w:rPr>
        <w:t xml:space="preserve"> Medidas que den a la familia acceso a maquinaria para poder trabajar la tierra</w:t>
      </w:r>
      <w:r>
        <w:rPr>
          <w:rFonts w:ascii="Cambria" w:eastAsia="Times New Roman" w:hAnsi="Cambria"/>
          <w:sz w:val="16"/>
          <w:szCs w:val="16"/>
          <w:lang w:val="es-ES"/>
        </w:rPr>
        <w:t xml:space="preserve">. </w:t>
      </w:r>
      <w:r w:rsidRPr="00C66276">
        <w:rPr>
          <w:rFonts w:ascii="Cambria" w:hAnsi="Cambria"/>
          <w:sz w:val="16"/>
          <w:szCs w:val="16"/>
          <w:lang w:val="es-US"/>
        </w:rPr>
        <w:t>La recomendación fue dada como cumplida en</w:t>
      </w:r>
      <w:r w:rsidRPr="00C66276">
        <w:rPr>
          <w:rFonts w:ascii="Cambria" w:hAnsi="Cambria"/>
          <w:sz w:val="16"/>
          <w:szCs w:val="16"/>
          <w:lang w:val="es-ES"/>
        </w:rPr>
        <w:t xml:space="preserve"> CIDH, </w:t>
      </w:r>
      <w:hyperlink r:id="rId1" w:history="1">
        <w:r w:rsidRPr="00B86AE1">
          <w:rPr>
            <w:rStyle w:val="Hyperlink"/>
            <w:rFonts w:ascii="Cambria" w:hAnsi="Cambria"/>
            <w:sz w:val="16"/>
            <w:szCs w:val="16"/>
            <w:lang w:val="es-ES"/>
          </w:rPr>
          <w:t>Informe Anual 2022, Capítulo II, Sección E.3: Estado de cumplimiento de las recomendaciones de la CIDH.</w:t>
        </w:r>
      </w:hyperlink>
    </w:p>
  </w:footnote>
  <w:footnote w:id="3">
    <w:p w14:paraId="1D6100CC" w14:textId="5FCA71A8" w:rsidR="00EB6059" w:rsidRPr="00EB6059" w:rsidRDefault="00EB6059" w:rsidP="00EB6059">
      <w:pPr>
        <w:pStyle w:val="NoSpacing"/>
        <w:ind w:firstLine="709"/>
        <w:jc w:val="both"/>
        <w:rPr>
          <w:rFonts w:eastAsia="Times New Roman"/>
          <w:lang w:val="es-ES"/>
        </w:rPr>
      </w:pPr>
      <w:r w:rsidRPr="00EB6059">
        <w:rPr>
          <w:rStyle w:val="FootnoteReference"/>
          <w:rFonts w:ascii="Cambria" w:hAnsi="Cambria"/>
          <w:sz w:val="16"/>
          <w:szCs w:val="16"/>
        </w:rPr>
        <w:footnoteRef/>
      </w:r>
      <w:r w:rsidRPr="00EB6059">
        <w:rPr>
          <w:rFonts w:ascii="Cambria" w:hAnsi="Cambria"/>
          <w:sz w:val="16"/>
          <w:szCs w:val="16"/>
        </w:rPr>
        <w:t xml:space="preserve"> </w:t>
      </w:r>
      <w:r>
        <w:rPr>
          <w:rFonts w:ascii="Cambria" w:hAnsi="Cambria"/>
          <w:sz w:val="16"/>
          <w:szCs w:val="16"/>
        </w:rPr>
        <w:t>Clausula E de la Recomendación 1 del Acuerdo de Cumplimiento</w:t>
      </w:r>
      <w:r w:rsidRPr="00EB6059">
        <w:rPr>
          <w:rFonts w:ascii="Cambria" w:eastAsia="Times New Roman" w:hAnsi="Cambria"/>
          <w:sz w:val="16"/>
          <w:szCs w:val="16"/>
          <w:lang w:val="es-ES"/>
        </w:rPr>
        <w:t xml:space="preserve"> Atención a salud física y psíquica para la familia</w:t>
      </w:r>
      <w:r>
        <w:rPr>
          <w:rFonts w:ascii="Cambria" w:eastAsia="Times New Roman" w:hAnsi="Cambria"/>
          <w:sz w:val="16"/>
          <w:szCs w:val="16"/>
          <w:lang w:val="es-ES"/>
        </w:rPr>
        <w:t xml:space="preserve">. </w:t>
      </w:r>
      <w:r w:rsidRPr="00C66276">
        <w:rPr>
          <w:rFonts w:ascii="Cambria" w:hAnsi="Cambria"/>
          <w:sz w:val="16"/>
          <w:szCs w:val="16"/>
          <w:lang w:val="es-US"/>
        </w:rPr>
        <w:t>La recomendación fue dada como cumplida en</w:t>
      </w:r>
      <w:r w:rsidRPr="00C66276">
        <w:rPr>
          <w:rFonts w:ascii="Cambria" w:hAnsi="Cambria"/>
          <w:sz w:val="16"/>
          <w:szCs w:val="16"/>
          <w:lang w:val="es-ES"/>
        </w:rPr>
        <w:t xml:space="preserve"> CIDH, </w:t>
      </w:r>
      <w:hyperlink r:id="rId2" w:history="1">
        <w:r w:rsidRPr="00B86AE1">
          <w:rPr>
            <w:rStyle w:val="Hyperlink"/>
            <w:rFonts w:ascii="Cambria" w:hAnsi="Cambria"/>
            <w:sz w:val="16"/>
            <w:szCs w:val="16"/>
            <w:lang w:val="es-ES"/>
          </w:rPr>
          <w:t>Informe Anual 2022, Capítulo II, Sección E.3: Estado de cumplimiento de las recomendaciones de la CIDH.</w:t>
        </w:r>
      </w:hyperlink>
    </w:p>
  </w:footnote>
  <w:footnote w:id="4">
    <w:p w14:paraId="7A5CE25E" w14:textId="0EB150D4" w:rsidR="00570040" w:rsidRPr="00EB6059" w:rsidRDefault="00570040" w:rsidP="00570040">
      <w:pPr>
        <w:pStyle w:val="NoSpacing"/>
        <w:ind w:firstLine="709"/>
        <w:jc w:val="both"/>
        <w:rPr>
          <w:rFonts w:ascii="Cambria" w:hAnsi="Cambria"/>
          <w:sz w:val="16"/>
          <w:szCs w:val="16"/>
          <w:lang w:val="es-ES"/>
        </w:rPr>
      </w:pPr>
      <w:r w:rsidRPr="00570040">
        <w:rPr>
          <w:rStyle w:val="FootnoteReference"/>
          <w:rFonts w:ascii="Cambria" w:hAnsi="Cambria"/>
          <w:sz w:val="16"/>
          <w:szCs w:val="16"/>
        </w:rPr>
        <w:footnoteRef/>
      </w:r>
      <w:r w:rsidRPr="00570040">
        <w:rPr>
          <w:rFonts w:ascii="Cambria" w:hAnsi="Cambria"/>
          <w:sz w:val="16"/>
          <w:szCs w:val="16"/>
        </w:rPr>
        <w:t xml:space="preserve"> Recomendación 2. </w:t>
      </w:r>
      <w:r w:rsidR="00BA107B">
        <w:rPr>
          <w:rFonts w:ascii="Cambria" w:hAnsi="Cambria"/>
          <w:sz w:val="16"/>
          <w:szCs w:val="16"/>
        </w:rPr>
        <w:t>“</w:t>
      </w:r>
      <w:r w:rsidRPr="00570040">
        <w:rPr>
          <w:rFonts w:ascii="Cambria" w:eastAsia="Times New Roman" w:hAnsi="Cambria" w:cs="Times New Roman"/>
          <w:color w:val="000000" w:themeColor="text1"/>
          <w:sz w:val="16"/>
          <w:szCs w:val="16"/>
          <w:lang w:val="es-ES"/>
        </w:rPr>
        <w:t xml:space="preserve">Iniciar una investigación efectiva y dentro de un plazo razonable en la jurisdicción penal ordinaria, con el objeto de esclarecer los hechos en forma completa, identificar todas las posibles responsabilidades e imponer las sanciones que correspondan respecto de las violaciones de derechos humanos declaradas en el presente informe. El Estado no podrá oponer la aplicación del principio de </w:t>
      </w:r>
      <w:r w:rsidRPr="00570040">
        <w:rPr>
          <w:rFonts w:ascii="Cambria" w:eastAsia="Times New Roman" w:hAnsi="Cambria" w:cs="Times New Roman"/>
          <w:i/>
          <w:iCs/>
          <w:color w:val="000000" w:themeColor="text1"/>
          <w:sz w:val="16"/>
          <w:szCs w:val="16"/>
          <w:lang w:val="es-ES"/>
        </w:rPr>
        <w:t>non bis in idem</w:t>
      </w:r>
      <w:r w:rsidRPr="00570040">
        <w:rPr>
          <w:rFonts w:ascii="Cambria" w:eastAsia="Times New Roman" w:hAnsi="Cambria" w:cs="Times New Roman"/>
          <w:color w:val="000000" w:themeColor="text1"/>
          <w:sz w:val="16"/>
          <w:szCs w:val="16"/>
          <w:lang w:val="es-ES"/>
        </w:rPr>
        <w:t xml:space="preserve"> para no dar cumplimiento a esta obligación, tomando en cuenta que la decisión definitiva a nivel interno fue el resultado de un proceso violatorio de las garantías de juez natural, independencia e imparcialidad</w:t>
      </w:r>
      <w:r w:rsidR="00BA107B">
        <w:rPr>
          <w:rFonts w:ascii="Cambria" w:eastAsia="Times New Roman" w:hAnsi="Cambria" w:cs="Times New Roman"/>
          <w:color w:val="000000" w:themeColor="text1"/>
          <w:sz w:val="16"/>
          <w:szCs w:val="16"/>
          <w:lang w:val="es-ES"/>
        </w:rPr>
        <w:t>”</w:t>
      </w:r>
      <w:r w:rsidRPr="00570040">
        <w:rPr>
          <w:rFonts w:ascii="Cambria" w:eastAsia="Times New Roman" w:hAnsi="Cambria" w:cs="Times New Roman"/>
          <w:color w:val="000000" w:themeColor="text1"/>
          <w:sz w:val="16"/>
          <w:szCs w:val="16"/>
          <w:lang w:val="es-ES"/>
        </w:rPr>
        <w:t>.</w:t>
      </w:r>
      <w:r w:rsidR="00B86AE1">
        <w:rPr>
          <w:rFonts w:ascii="Cambria" w:eastAsia="Times New Roman" w:hAnsi="Cambria" w:cs="Times New Roman"/>
          <w:color w:val="000000" w:themeColor="text1"/>
          <w:sz w:val="16"/>
          <w:szCs w:val="16"/>
          <w:lang w:val="es-ES"/>
        </w:rPr>
        <w:t xml:space="preserve"> </w:t>
      </w:r>
      <w:r w:rsidR="00EB6059" w:rsidRPr="00C66276">
        <w:rPr>
          <w:rFonts w:ascii="Cambria" w:hAnsi="Cambria"/>
          <w:sz w:val="16"/>
          <w:szCs w:val="16"/>
          <w:lang w:val="es-US"/>
        </w:rPr>
        <w:t>La recomendación fue dada como cumplida en</w:t>
      </w:r>
      <w:r w:rsidR="00EB6059" w:rsidRPr="00C66276">
        <w:rPr>
          <w:rFonts w:ascii="Cambria" w:hAnsi="Cambria"/>
          <w:sz w:val="16"/>
          <w:szCs w:val="16"/>
          <w:lang w:val="es-ES"/>
        </w:rPr>
        <w:t xml:space="preserve"> CIDH</w:t>
      </w:r>
      <w:r w:rsidR="00EB6059">
        <w:rPr>
          <w:rFonts w:ascii="Cambria" w:hAnsi="Cambria"/>
          <w:sz w:val="16"/>
          <w:szCs w:val="16"/>
          <w:lang w:val="es-ES"/>
        </w:rPr>
        <w:t>, Informe Anual 2023.</w:t>
      </w:r>
    </w:p>
  </w:footnote>
  <w:footnote w:id="5">
    <w:p w14:paraId="45BAEFEA" w14:textId="37585DA3" w:rsidR="00570040" w:rsidRPr="00570040" w:rsidRDefault="00570040" w:rsidP="00570040">
      <w:pPr>
        <w:pStyle w:val="NoSpacing"/>
        <w:ind w:firstLine="709"/>
        <w:jc w:val="both"/>
        <w:rPr>
          <w:rFonts w:ascii="Cambria" w:hAnsi="Cambria"/>
          <w:sz w:val="16"/>
          <w:szCs w:val="16"/>
        </w:rPr>
      </w:pPr>
      <w:r w:rsidRPr="00570040">
        <w:rPr>
          <w:rStyle w:val="FootnoteReference"/>
          <w:rFonts w:ascii="Cambria" w:hAnsi="Cambria"/>
          <w:sz w:val="16"/>
          <w:szCs w:val="16"/>
        </w:rPr>
        <w:footnoteRef/>
      </w:r>
      <w:r w:rsidRPr="00570040">
        <w:rPr>
          <w:rFonts w:ascii="Cambria" w:hAnsi="Cambria"/>
          <w:sz w:val="16"/>
          <w:szCs w:val="16"/>
        </w:rPr>
        <w:t xml:space="preserve"> Cláusula B de</w:t>
      </w:r>
      <w:r w:rsidR="006D354F">
        <w:rPr>
          <w:rFonts w:ascii="Cambria" w:hAnsi="Cambria"/>
          <w:sz w:val="16"/>
          <w:szCs w:val="16"/>
        </w:rPr>
        <w:t xml:space="preserve"> la Recomendación 4 del</w:t>
      </w:r>
      <w:r w:rsidRPr="00570040">
        <w:rPr>
          <w:rFonts w:ascii="Cambria" w:hAnsi="Cambria"/>
          <w:sz w:val="16"/>
          <w:szCs w:val="16"/>
        </w:rPr>
        <w:t xml:space="preserve"> Acuerdo de Cumplimiento. </w:t>
      </w:r>
      <w:r w:rsidR="00614D47">
        <w:rPr>
          <w:rFonts w:ascii="Cambria" w:hAnsi="Cambria"/>
          <w:sz w:val="16"/>
          <w:szCs w:val="16"/>
        </w:rPr>
        <w:t>“</w:t>
      </w:r>
      <w:r w:rsidRPr="00570040">
        <w:rPr>
          <w:rFonts w:ascii="Cambria" w:hAnsi="Cambria"/>
          <w:sz w:val="16"/>
          <w:szCs w:val="16"/>
        </w:rPr>
        <w:t>Capacitaciones, programa de capacitación en terreno a funcionarios de carabineros asignados en la Araucanía</w:t>
      </w:r>
      <w:r w:rsidR="00614D47">
        <w:rPr>
          <w:rFonts w:ascii="Cambria" w:hAnsi="Cambria"/>
          <w:sz w:val="16"/>
          <w:szCs w:val="16"/>
        </w:rPr>
        <w:t>”</w:t>
      </w:r>
      <w:r w:rsidRPr="00570040">
        <w:rPr>
          <w:rFonts w:ascii="Cambria" w:hAnsi="Cambria"/>
          <w:sz w:val="16"/>
          <w:szCs w:val="16"/>
        </w:rPr>
        <w:t>.</w:t>
      </w:r>
      <w:r w:rsidR="00B86AE1" w:rsidRPr="00B86AE1">
        <w:rPr>
          <w:rFonts w:ascii="Cambria" w:hAnsi="Cambria"/>
          <w:sz w:val="16"/>
          <w:szCs w:val="16"/>
          <w:lang w:val="es-US"/>
        </w:rPr>
        <w:t xml:space="preserve"> </w:t>
      </w:r>
      <w:r w:rsidR="00EB6059" w:rsidRPr="00C66276">
        <w:rPr>
          <w:rFonts w:ascii="Cambria" w:hAnsi="Cambria"/>
          <w:sz w:val="16"/>
          <w:szCs w:val="16"/>
          <w:lang w:val="es-US"/>
        </w:rPr>
        <w:t>La recomendación fue dada como cumplida en</w:t>
      </w:r>
      <w:r w:rsidR="00EB6059" w:rsidRPr="00C66276">
        <w:rPr>
          <w:rFonts w:ascii="Cambria" w:hAnsi="Cambria"/>
          <w:sz w:val="16"/>
          <w:szCs w:val="16"/>
          <w:lang w:val="es-ES"/>
        </w:rPr>
        <w:t xml:space="preserve"> CIDH</w:t>
      </w:r>
      <w:r w:rsidR="00EB6059">
        <w:rPr>
          <w:rFonts w:ascii="Cambria" w:hAnsi="Cambria"/>
          <w:sz w:val="16"/>
          <w:szCs w:val="16"/>
          <w:lang w:val="es-ES"/>
        </w:rPr>
        <w:t>, Informe Anual 2023.</w:t>
      </w:r>
    </w:p>
    <w:p w14:paraId="544CFD8C" w14:textId="2F92B4A2" w:rsidR="00570040" w:rsidRPr="00570040" w:rsidRDefault="00570040" w:rsidP="00570040">
      <w:pPr>
        <w:pStyle w:val="NoSpacing"/>
        <w:ind w:firstLine="709"/>
        <w:jc w:val="both"/>
        <w:rPr>
          <w:rFonts w:ascii="Cambria" w:hAnsi="Cambria"/>
          <w:sz w:val="16"/>
          <w:szCs w:val="16"/>
        </w:rPr>
      </w:pPr>
    </w:p>
  </w:footnote>
  <w:footnote w:id="6">
    <w:p w14:paraId="566854FE" w14:textId="77777777" w:rsidR="00561ED3" w:rsidRPr="00570040" w:rsidRDefault="00561ED3" w:rsidP="00570040">
      <w:pPr>
        <w:pStyle w:val="NoSpacing"/>
        <w:ind w:firstLine="709"/>
        <w:jc w:val="both"/>
        <w:rPr>
          <w:rFonts w:ascii="Cambria" w:hAnsi="Cambria"/>
          <w:sz w:val="16"/>
          <w:szCs w:val="16"/>
        </w:rPr>
      </w:pPr>
      <w:r w:rsidRPr="00570040">
        <w:rPr>
          <w:rStyle w:val="FootnoteReference"/>
          <w:rFonts w:ascii="Cambria" w:hAnsi="Cambria"/>
          <w:sz w:val="16"/>
          <w:szCs w:val="16"/>
        </w:rPr>
        <w:footnoteRef/>
      </w:r>
      <w:r w:rsidRPr="00570040">
        <w:rPr>
          <w:rFonts w:ascii="Cambria" w:hAnsi="Cambria"/>
          <w:sz w:val="16"/>
          <w:szCs w:val="16"/>
        </w:rPr>
        <w:t xml:space="preserve"> Para información anterior a 2023, verificar el Capítulo II.E del Informe Anual de la CIDH 2022, o de ser el caso, el capítulo II de Informe Anuales anteriores.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6592" w14:textId="77777777" w:rsidR="00353E67" w:rsidRDefault="00353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C2446" w14:paraId="13E32BEE" w14:textId="77777777" w:rsidTr="009C2446">
      <w:trPr>
        <w:trHeight w:hRule="exact" w:val="640"/>
        <w:jc w:val="center"/>
      </w:trPr>
      <w:tc>
        <w:tcPr>
          <w:tcW w:w="4675" w:type="dxa"/>
          <w:shd w:val="clear" w:color="auto" w:fill="auto"/>
        </w:tcPr>
        <w:p w14:paraId="63134E9B" w14:textId="13C04872" w:rsidR="009C2446" w:rsidRDefault="009C2446" w:rsidP="009C2446">
          <w:pPr>
            <w:pStyle w:val="Header"/>
          </w:pPr>
          <w:r>
            <w:rPr>
              <w:noProof/>
            </w:rPr>
            <w:drawing>
              <wp:inline distT="0" distB="0" distL="0" distR="0" wp14:anchorId="52A80AD0" wp14:editId="30F19574">
                <wp:extent cx="866919" cy="317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66919" cy="317500"/>
                        </a:xfrm>
                        <a:prstGeom prst="rect">
                          <a:avLst/>
                        </a:prstGeom>
                      </pic:spPr>
                    </pic:pic>
                  </a:graphicData>
                </a:graphic>
              </wp:inline>
            </w:drawing>
          </w:r>
        </w:p>
      </w:tc>
      <w:tc>
        <w:tcPr>
          <w:tcW w:w="4675" w:type="dxa"/>
          <w:shd w:val="clear" w:color="auto" w:fill="auto"/>
        </w:tcPr>
        <w:p w14:paraId="76BB8B7D" w14:textId="64D5A3E8" w:rsidR="009C2446" w:rsidRDefault="009C2446" w:rsidP="009C2446">
          <w:pPr>
            <w:pStyle w:val="Header"/>
            <w:jc w:val="right"/>
          </w:pPr>
          <w:r>
            <w:rPr>
              <w:noProof/>
            </w:rPr>
            <w:drawing>
              <wp:inline distT="0" distB="0" distL="0" distR="0" wp14:anchorId="72FDE899" wp14:editId="03639ACA">
                <wp:extent cx="1344098" cy="3175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4B1F511A" w14:textId="3197C0D0" w:rsidR="004010CC" w:rsidRPr="009C2446" w:rsidRDefault="004010CC" w:rsidP="009C2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C2446" w14:paraId="1327DE85" w14:textId="77777777" w:rsidTr="009C2446">
      <w:trPr>
        <w:trHeight w:hRule="exact" w:val="860"/>
        <w:jc w:val="center"/>
      </w:trPr>
      <w:tc>
        <w:tcPr>
          <w:tcW w:w="4675" w:type="dxa"/>
          <w:shd w:val="clear" w:color="auto" w:fill="auto"/>
        </w:tcPr>
        <w:p w14:paraId="693DF345" w14:textId="69A90235" w:rsidR="009C2446" w:rsidRDefault="009C2446" w:rsidP="009C2446">
          <w:pPr>
            <w:pStyle w:val="Header"/>
          </w:pPr>
          <w:r>
            <w:rPr>
              <w:noProof/>
            </w:rPr>
            <w:drawing>
              <wp:inline distT="0" distB="0" distL="0" distR="0" wp14:anchorId="13C6A52A" wp14:editId="28DBB139">
                <wp:extent cx="124836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48364" cy="457200"/>
                        </a:xfrm>
                        <a:prstGeom prst="rect">
                          <a:avLst/>
                        </a:prstGeom>
                      </pic:spPr>
                    </pic:pic>
                  </a:graphicData>
                </a:graphic>
              </wp:inline>
            </w:drawing>
          </w:r>
        </w:p>
      </w:tc>
      <w:tc>
        <w:tcPr>
          <w:tcW w:w="4675" w:type="dxa"/>
          <w:shd w:val="clear" w:color="auto" w:fill="auto"/>
        </w:tcPr>
        <w:p w14:paraId="08AA9522" w14:textId="7282C9B2" w:rsidR="009C2446" w:rsidRDefault="009C2446" w:rsidP="009C2446">
          <w:pPr>
            <w:pStyle w:val="Header"/>
            <w:jc w:val="right"/>
          </w:pPr>
          <w:r>
            <w:rPr>
              <w:noProof/>
            </w:rPr>
            <w:drawing>
              <wp:inline distT="0" distB="0" distL="0" distR="0" wp14:anchorId="1E809B77" wp14:editId="0BDA4B9D">
                <wp:extent cx="1935501"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6608283" w14:textId="77777777" w:rsidR="00353E67" w:rsidRPr="009C2446" w:rsidRDefault="00353E67" w:rsidP="009C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292"/>
    <w:multiLevelType w:val="hybridMultilevel"/>
    <w:tmpl w:val="F9F49E94"/>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FF72D6D"/>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A36F54"/>
    <w:multiLevelType w:val="hybridMultilevel"/>
    <w:tmpl w:val="79B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0EE0"/>
    <w:multiLevelType w:val="hybridMultilevel"/>
    <w:tmpl w:val="02BC60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9BF348A"/>
    <w:multiLevelType w:val="hybridMultilevel"/>
    <w:tmpl w:val="7DD83BC4"/>
    <w:lvl w:ilvl="0" w:tplc="240A0013">
      <w:start w:val="1"/>
      <w:numFmt w:val="upperRoman"/>
      <w:lvlText w:val="%1."/>
      <w:lvlJc w:val="righ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C780D84"/>
    <w:multiLevelType w:val="hybridMultilevel"/>
    <w:tmpl w:val="8228A420"/>
    <w:lvl w:ilvl="0" w:tplc="02FA98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04A75"/>
    <w:multiLevelType w:val="hybridMultilevel"/>
    <w:tmpl w:val="4B2073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4788B"/>
    <w:multiLevelType w:val="hybridMultilevel"/>
    <w:tmpl w:val="8892AFC2"/>
    <w:lvl w:ilvl="0" w:tplc="0409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4D3959"/>
    <w:multiLevelType w:val="hybridMultilevel"/>
    <w:tmpl w:val="76D66DE0"/>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09B67CB"/>
    <w:multiLevelType w:val="hybridMultilevel"/>
    <w:tmpl w:val="7810742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0E0A72"/>
    <w:multiLevelType w:val="hybridMultilevel"/>
    <w:tmpl w:val="BDE8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751147">
    <w:abstractNumId w:val="4"/>
  </w:num>
  <w:num w:numId="2" w16cid:durableId="1647855531">
    <w:abstractNumId w:val="6"/>
  </w:num>
  <w:num w:numId="3" w16cid:durableId="594291508">
    <w:abstractNumId w:val="9"/>
  </w:num>
  <w:num w:numId="4" w16cid:durableId="1987125156">
    <w:abstractNumId w:val="10"/>
  </w:num>
  <w:num w:numId="5" w16cid:durableId="1708065898">
    <w:abstractNumId w:val="2"/>
  </w:num>
  <w:num w:numId="6" w16cid:durableId="1299652156">
    <w:abstractNumId w:val="8"/>
  </w:num>
  <w:num w:numId="7" w16cid:durableId="587278469">
    <w:abstractNumId w:val="3"/>
  </w:num>
  <w:num w:numId="8" w16cid:durableId="1246764775">
    <w:abstractNumId w:val="7"/>
  </w:num>
  <w:num w:numId="9" w16cid:durableId="2049525825">
    <w:abstractNumId w:val="5"/>
  </w:num>
  <w:num w:numId="10" w16cid:durableId="246766379">
    <w:abstractNumId w:val="0"/>
  </w:num>
  <w:num w:numId="11" w16cid:durableId="7039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BE"/>
    <w:rsid w:val="0000242D"/>
    <w:rsid w:val="00031513"/>
    <w:rsid w:val="00063291"/>
    <w:rsid w:val="00113417"/>
    <w:rsid w:val="00116AE5"/>
    <w:rsid w:val="0015181C"/>
    <w:rsid w:val="00165D80"/>
    <w:rsid w:val="00196A7F"/>
    <w:rsid w:val="001A0696"/>
    <w:rsid w:val="001D52BD"/>
    <w:rsid w:val="001E435A"/>
    <w:rsid w:val="001E45C1"/>
    <w:rsid w:val="00223DF7"/>
    <w:rsid w:val="00246827"/>
    <w:rsid w:val="00271A97"/>
    <w:rsid w:val="002908D3"/>
    <w:rsid w:val="002978E7"/>
    <w:rsid w:val="002C29A8"/>
    <w:rsid w:val="003221CD"/>
    <w:rsid w:val="00353E67"/>
    <w:rsid w:val="00371D60"/>
    <w:rsid w:val="00373D6C"/>
    <w:rsid w:val="003859E2"/>
    <w:rsid w:val="003960C4"/>
    <w:rsid w:val="003D7087"/>
    <w:rsid w:val="003E0827"/>
    <w:rsid w:val="003E22FF"/>
    <w:rsid w:val="003F597B"/>
    <w:rsid w:val="004010CC"/>
    <w:rsid w:val="004121F1"/>
    <w:rsid w:val="0044059B"/>
    <w:rsid w:val="00453AF4"/>
    <w:rsid w:val="004709EC"/>
    <w:rsid w:val="0047476C"/>
    <w:rsid w:val="00490877"/>
    <w:rsid w:val="004D5770"/>
    <w:rsid w:val="004E757E"/>
    <w:rsid w:val="005278A4"/>
    <w:rsid w:val="00561ED3"/>
    <w:rsid w:val="00570040"/>
    <w:rsid w:val="005A338B"/>
    <w:rsid w:val="005A668B"/>
    <w:rsid w:val="005F500C"/>
    <w:rsid w:val="0061070C"/>
    <w:rsid w:val="00613919"/>
    <w:rsid w:val="00614D47"/>
    <w:rsid w:val="00644058"/>
    <w:rsid w:val="0066647A"/>
    <w:rsid w:val="006707BE"/>
    <w:rsid w:val="006A0B04"/>
    <w:rsid w:val="006A356D"/>
    <w:rsid w:val="006A46E5"/>
    <w:rsid w:val="006D354F"/>
    <w:rsid w:val="006D70FB"/>
    <w:rsid w:val="006E20F4"/>
    <w:rsid w:val="006E3DAE"/>
    <w:rsid w:val="006F42E2"/>
    <w:rsid w:val="007777F1"/>
    <w:rsid w:val="00790544"/>
    <w:rsid w:val="007C674E"/>
    <w:rsid w:val="007E0BA2"/>
    <w:rsid w:val="007E12FE"/>
    <w:rsid w:val="00805584"/>
    <w:rsid w:val="00846DF0"/>
    <w:rsid w:val="008A2A37"/>
    <w:rsid w:val="008B7F2D"/>
    <w:rsid w:val="008C4C8E"/>
    <w:rsid w:val="008D56AF"/>
    <w:rsid w:val="008F2A32"/>
    <w:rsid w:val="00917366"/>
    <w:rsid w:val="00922BC7"/>
    <w:rsid w:val="0095092D"/>
    <w:rsid w:val="00997768"/>
    <w:rsid w:val="009B4E7C"/>
    <w:rsid w:val="009C2446"/>
    <w:rsid w:val="009C5E56"/>
    <w:rsid w:val="009F31C3"/>
    <w:rsid w:val="00A14D94"/>
    <w:rsid w:val="00A1574C"/>
    <w:rsid w:val="00A165F9"/>
    <w:rsid w:val="00A16BD1"/>
    <w:rsid w:val="00A37EC2"/>
    <w:rsid w:val="00A45433"/>
    <w:rsid w:val="00A84C0C"/>
    <w:rsid w:val="00A93F2A"/>
    <w:rsid w:val="00AA2320"/>
    <w:rsid w:val="00AA759D"/>
    <w:rsid w:val="00AE67E5"/>
    <w:rsid w:val="00B45634"/>
    <w:rsid w:val="00B60A53"/>
    <w:rsid w:val="00B7466B"/>
    <w:rsid w:val="00B86AE1"/>
    <w:rsid w:val="00B92517"/>
    <w:rsid w:val="00BA107B"/>
    <w:rsid w:val="00BC1BB9"/>
    <w:rsid w:val="00BE45DB"/>
    <w:rsid w:val="00BE7C7C"/>
    <w:rsid w:val="00C112BA"/>
    <w:rsid w:val="00C4627E"/>
    <w:rsid w:val="00C52ED0"/>
    <w:rsid w:val="00C64B3D"/>
    <w:rsid w:val="00C67FB7"/>
    <w:rsid w:val="00C7282A"/>
    <w:rsid w:val="00C743B9"/>
    <w:rsid w:val="00C80D71"/>
    <w:rsid w:val="00C914AB"/>
    <w:rsid w:val="00C96089"/>
    <w:rsid w:val="00D57B94"/>
    <w:rsid w:val="00D67F1B"/>
    <w:rsid w:val="00DA351F"/>
    <w:rsid w:val="00DB179A"/>
    <w:rsid w:val="00DB37D0"/>
    <w:rsid w:val="00DB7191"/>
    <w:rsid w:val="00DF6766"/>
    <w:rsid w:val="00E14898"/>
    <w:rsid w:val="00E23747"/>
    <w:rsid w:val="00E50EED"/>
    <w:rsid w:val="00EB6059"/>
    <w:rsid w:val="00EB6224"/>
    <w:rsid w:val="00EC3359"/>
    <w:rsid w:val="00ED552C"/>
    <w:rsid w:val="00EE0B35"/>
    <w:rsid w:val="00EE3F44"/>
    <w:rsid w:val="00EF1BF8"/>
    <w:rsid w:val="00EF6AEC"/>
    <w:rsid w:val="00EF7072"/>
    <w:rsid w:val="00F64836"/>
    <w:rsid w:val="00F65ACF"/>
    <w:rsid w:val="00F66440"/>
    <w:rsid w:val="00F67ACE"/>
    <w:rsid w:val="00FC6836"/>
    <w:rsid w:val="00FD0BBE"/>
    <w:rsid w:val="00FD514E"/>
    <w:rsid w:val="00FE5D6B"/>
    <w:rsid w:val="00FE7A39"/>
    <w:rsid w:val="45028BC5"/>
    <w:rsid w:val="7E27E4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0BBE"/>
    <w:pPr>
      <w:spacing w:after="0" w:line="240" w:lineRule="auto"/>
    </w:pPr>
    <w:rPr>
      <w:rFonts w:eastAsiaTheme="minorEastAsia"/>
      <w:sz w:val="20"/>
      <w:szCs w:val="20"/>
    </w:rPr>
  </w:style>
  <w:style w:type="character" w:customStyle="1" w:styleId="NoSpacingChar">
    <w:name w:val="No Spacing Char"/>
    <w:link w:val="NoSpacing"/>
    <w:uiPriority w:val="1"/>
    <w:rsid w:val="00FD0BBE"/>
    <w:rPr>
      <w:rFonts w:eastAsiaTheme="minorEastAsia"/>
      <w:sz w:val="20"/>
      <w:szCs w:val="20"/>
    </w:rPr>
  </w:style>
  <w:style w:type="character" w:styleId="Hyperlink">
    <w:name w:val="Hyperlink"/>
    <w:uiPriority w:val="99"/>
    <w:unhideWhenUsed/>
    <w:rsid w:val="00FD0BBE"/>
    <w:rPr>
      <w:color w:val="0563C1"/>
      <w:u w:val="single"/>
    </w:rPr>
  </w:style>
  <w:style w:type="paragraph" w:styleId="ListParagraph">
    <w:name w:val="List Paragraph"/>
    <w:aliases w:val="Párrafo de lista1,List Paragraph1,Colorful List - Accent 11,List Paragraph11"/>
    <w:basedOn w:val="Normal"/>
    <w:link w:val="ListParagraphChar"/>
    <w:uiPriority w:val="34"/>
    <w:qFormat/>
    <w:rsid w:val="00FD0BBE"/>
    <w:pPr>
      <w:ind w:left="720"/>
      <w:contextualSpacing/>
    </w:p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FD0BBE"/>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FD0BBE"/>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FD0BBE"/>
    <w:rPr>
      <w:sz w:val="20"/>
      <w:szCs w:val="20"/>
    </w:rPr>
  </w:style>
  <w:style w:type="character" w:styleId="FootnoteReference">
    <w:name w:val="footnote reference"/>
    <w:basedOn w:val="DefaultParagraphFont"/>
    <w:uiPriority w:val="99"/>
    <w:semiHidden/>
    <w:unhideWhenUsed/>
    <w:rsid w:val="00FD0BBE"/>
    <w:rPr>
      <w:vertAlign w:val="superscript"/>
    </w:rPr>
  </w:style>
  <w:style w:type="table" w:styleId="TableGrid">
    <w:name w:val="Table Grid"/>
    <w:basedOn w:val="TableNormal"/>
    <w:uiPriority w:val="39"/>
    <w:rsid w:val="00FD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B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FD0BBE"/>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B4E7C"/>
    <w:pPr>
      <w:spacing w:after="0" w:line="240" w:lineRule="auto"/>
    </w:pPr>
  </w:style>
  <w:style w:type="character" w:styleId="CommentReference">
    <w:name w:val="annotation reference"/>
    <w:basedOn w:val="DefaultParagraphFont"/>
    <w:uiPriority w:val="99"/>
    <w:semiHidden/>
    <w:unhideWhenUsed/>
    <w:rsid w:val="00BA107B"/>
    <w:rPr>
      <w:sz w:val="16"/>
      <w:szCs w:val="16"/>
    </w:rPr>
  </w:style>
  <w:style w:type="paragraph" w:styleId="CommentText">
    <w:name w:val="annotation text"/>
    <w:basedOn w:val="Normal"/>
    <w:link w:val="CommentTextChar"/>
    <w:uiPriority w:val="99"/>
    <w:unhideWhenUsed/>
    <w:rsid w:val="00BA107B"/>
    <w:pPr>
      <w:spacing w:line="240" w:lineRule="auto"/>
    </w:pPr>
    <w:rPr>
      <w:sz w:val="20"/>
      <w:szCs w:val="20"/>
    </w:rPr>
  </w:style>
  <w:style w:type="character" w:customStyle="1" w:styleId="CommentTextChar">
    <w:name w:val="Comment Text Char"/>
    <w:basedOn w:val="DefaultParagraphFont"/>
    <w:link w:val="CommentText"/>
    <w:uiPriority w:val="99"/>
    <w:rsid w:val="00BA107B"/>
    <w:rPr>
      <w:sz w:val="20"/>
      <w:szCs w:val="20"/>
    </w:rPr>
  </w:style>
  <w:style w:type="paragraph" w:styleId="CommentSubject">
    <w:name w:val="annotation subject"/>
    <w:basedOn w:val="CommentText"/>
    <w:next w:val="CommentText"/>
    <w:link w:val="CommentSubjectChar"/>
    <w:uiPriority w:val="99"/>
    <w:semiHidden/>
    <w:unhideWhenUsed/>
    <w:rsid w:val="00BA107B"/>
    <w:rPr>
      <w:b/>
      <w:bCs/>
    </w:rPr>
  </w:style>
  <w:style w:type="character" w:customStyle="1" w:styleId="CommentSubjectChar">
    <w:name w:val="Comment Subject Char"/>
    <w:basedOn w:val="CommentTextChar"/>
    <w:link w:val="CommentSubject"/>
    <w:uiPriority w:val="99"/>
    <w:semiHidden/>
    <w:rsid w:val="00BA107B"/>
    <w:rPr>
      <w:b/>
      <w:bCs/>
      <w:sz w:val="20"/>
      <w:szCs w:val="20"/>
    </w:rPr>
  </w:style>
  <w:style w:type="character" w:styleId="UnresolvedMention">
    <w:name w:val="Unresolved Mention"/>
    <w:basedOn w:val="DefaultParagraphFont"/>
    <w:uiPriority w:val="99"/>
    <w:semiHidden/>
    <w:unhideWhenUsed/>
    <w:rsid w:val="00B8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1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org/es/cidh/decisiones/2021/chpu12.880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ocs/anual/2022/capitulos/4-IA2022_Cap_2_ES.pdf" TargetMode="External"/><Relationship Id="rId1" Type="http://schemas.openxmlformats.org/officeDocument/2006/relationships/hyperlink" Target="https://www.oas.org/es/cidh/docs/anual/2022/capitulos/4-IA2022_Cap_2_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mbria" panose="02040503050406030204" pitchFamily="18" charset="0"/>
                <a:ea typeface="+mn-ea"/>
                <a:cs typeface="+mn-cs"/>
              </a:defRPr>
            </a:pPr>
            <a:r>
              <a:rPr lang="en-US" sz="1200">
                <a:solidFill>
                  <a:sysClr val="windowText" lastClr="000000"/>
                </a:solidFill>
                <a:latin typeface="Cambria" panose="02040503050406030204" pitchFamily="18" charset="0"/>
              </a:rPr>
              <a:t>Recomendaciones</a:t>
            </a:r>
            <a:endParaRPr lang="en-US">
              <a:solidFill>
                <a:sysClr val="windowText" lastClr="000000"/>
              </a:solidFill>
              <a:latin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
          <c:y val="0.17332500207467866"/>
          <c:w val="0.56510688689166377"/>
          <c:h val="0.62431523399934585"/>
        </c:manualLayout>
      </c:layout>
      <c:pieChart>
        <c:varyColors val="1"/>
        <c:ser>
          <c:idx val="0"/>
          <c:order val="0"/>
          <c:tx>
            <c:strRef>
              <c:f>Hoja1!$B$1</c:f>
              <c:strCache>
                <c:ptCount val="1"/>
                <c:pt idx="0">
                  <c:v>Recomendaciones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6D-443F-91F1-AFB74231FE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6D-443F-91F1-AFB74231FE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52-D74D-B7D2-17D45DBC95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Cumplimiento Parcial Sustancial</c:v>
                </c:pt>
                <c:pt idx="1">
                  <c:v>Cumplimiento Parcial</c:v>
                </c:pt>
                <c:pt idx="2">
                  <c:v>Cumplimiento Total </c:v>
                </c:pt>
              </c:strCache>
            </c:strRef>
          </c:cat>
          <c:val>
            <c:numRef>
              <c:f>Hoja1!$B$2:$B$4</c:f>
              <c:numCache>
                <c:formatCode>General</c:formatCode>
                <c:ptCount val="3"/>
                <c:pt idx="0">
                  <c:v>50</c:v>
                </c:pt>
                <c:pt idx="1">
                  <c:v>25</c:v>
                </c:pt>
                <c:pt idx="2">
                  <c:v>25</c:v>
                </c:pt>
              </c:numCache>
            </c:numRef>
          </c:val>
          <c:extLst>
            <c:ext xmlns:c16="http://schemas.microsoft.com/office/drawing/2014/chart" uri="{C3380CC4-5D6E-409C-BE32-E72D297353CC}">
              <c16:uniqueId val="{00000008-7B6D-443F-91F1-AFB74231FE9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Entry>
      <c:layout>
        <c:manualLayout>
          <c:xMode val="edge"/>
          <c:yMode val="edge"/>
          <c:x val="0.56517450251375223"/>
          <c:y val="0.22393188921924179"/>
          <c:w val="0.3060439960323269"/>
          <c:h val="0.516997201076006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05EF7-FB96-45CF-ADBF-472B6418941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7A7490AF-E0A4-5743-B310-D38B5825FE7F}">
  <ds:schemaRefs>
    <ds:schemaRef ds:uri="http://schemas.openxmlformats.org/officeDocument/2006/bibliography"/>
  </ds:schemaRefs>
</ds:datastoreItem>
</file>

<file path=customXml/itemProps3.xml><?xml version="1.0" encoding="utf-8"?>
<ds:datastoreItem xmlns:ds="http://schemas.openxmlformats.org/officeDocument/2006/customXml" ds:itemID="{6C7C3AF9-327E-4A42-B6CB-74F22203C41C}">
  <ds:schemaRefs>
    <ds:schemaRef ds:uri="http://schemas.microsoft.com/sharepoint/v3/contenttype/forms"/>
  </ds:schemaRefs>
</ds:datastoreItem>
</file>

<file path=customXml/itemProps4.xml><?xml version="1.0" encoding="utf-8"?>
<ds:datastoreItem xmlns:ds="http://schemas.openxmlformats.org/officeDocument/2006/customXml" ds:itemID="{A51051D8-FC44-41C7-9913-06B30875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2500</Words>
  <Characters>14252</Characters>
  <Application>Microsoft Office Word</Application>
  <DocSecurity>0</DocSecurity>
  <Lines>118</Lines>
  <Paragraphs>33</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2024-03-11T16:50:00Z</dcterms:created>
  <dcterms:modified xsi:type="dcterms:W3CDTF">2024-03-11T16:50:00Z</dcterms:modified>
</cp:coreProperties>
</file>